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b/>
          <w:bCs/>
          <w:sz w:val="44"/>
          <w:szCs w:val="44"/>
        </w:rPr>
      </w:pPr>
      <w:r>
        <w:rPr>
          <w:rFonts w:hint="eastAsia" w:ascii="仿宋" w:hAnsi="仿宋" w:eastAsia="仿宋" w:cs="仿宋"/>
          <w:b/>
          <w:bCs/>
          <w:sz w:val="44"/>
          <w:szCs w:val="44"/>
        </w:rPr>
        <w:t>某</w:t>
      </w:r>
      <w:r>
        <w:rPr>
          <w:rFonts w:hint="eastAsia" w:ascii="仿宋" w:hAnsi="仿宋" w:eastAsia="仿宋" w:cs="仿宋"/>
          <w:b/>
          <w:bCs/>
          <w:sz w:val="44"/>
          <w:szCs w:val="44"/>
          <w:lang w:val="en-US" w:eastAsia="zh-CN"/>
        </w:rPr>
        <w:t>大型</w:t>
      </w:r>
      <w:r>
        <w:rPr>
          <w:rFonts w:hint="eastAsia" w:ascii="仿宋" w:hAnsi="仿宋" w:eastAsia="仿宋" w:cs="仿宋"/>
          <w:b/>
          <w:bCs/>
          <w:sz w:val="44"/>
          <w:szCs w:val="44"/>
        </w:rPr>
        <w:t>垃圾焚烧电厂全过程</w:t>
      </w:r>
      <w:r>
        <w:rPr>
          <w:rFonts w:hint="eastAsia" w:ascii="仿宋" w:hAnsi="仿宋" w:eastAsia="仿宋" w:cs="仿宋"/>
          <w:b/>
          <w:bCs/>
          <w:sz w:val="44"/>
          <w:szCs w:val="44"/>
          <w:lang w:val="en-US" w:eastAsia="zh-CN"/>
        </w:rPr>
        <w:t>工程</w:t>
      </w:r>
      <w:r>
        <w:rPr>
          <w:rFonts w:hint="eastAsia" w:ascii="仿宋" w:hAnsi="仿宋" w:eastAsia="仿宋" w:cs="仿宋"/>
          <w:b/>
          <w:bCs/>
          <w:sz w:val="44"/>
          <w:szCs w:val="44"/>
        </w:rPr>
        <w:t>咨询</w:t>
      </w:r>
    </w:p>
    <w:p>
      <w:pPr>
        <w:keepNext w:val="0"/>
        <w:keepLines w:val="0"/>
        <w:pageBreakBefore w:val="0"/>
        <w:widowControl w:val="0"/>
        <w:kinsoku/>
        <w:wordWrap/>
        <w:overflowPunct/>
        <w:topLinePunct w:val="0"/>
        <w:autoSpaceDE/>
        <w:autoSpaceDN/>
        <w:bidi w:val="0"/>
        <w:adjustRightInd/>
        <w:snapToGrid/>
        <w:spacing w:line="288" w:lineRule="auto"/>
        <w:ind w:left="0" w:leftChars="0"/>
        <w:jc w:val="center"/>
        <w:textAlignment w:val="auto"/>
        <w:rPr>
          <w:rFonts w:hint="eastAsia" w:ascii="仿宋" w:hAnsi="仿宋" w:eastAsia="仿宋" w:cs="仿宋"/>
          <w:sz w:val="32"/>
          <w:szCs w:val="32"/>
        </w:rPr>
      </w:pPr>
      <w:r>
        <w:rPr>
          <w:rFonts w:hint="eastAsia" w:ascii="仿宋" w:hAnsi="仿宋" w:eastAsia="仿宋" w:cs="仿宋"/>
          <w:sz w:val="32"/>
          <w:szCs w:val="32"/>
        </w:rPr>
        <w:t>——江苏兴光项目管理有限公司</w:t>
      </w:r>
    </w:p>
    <w:p>
      <w:pPr>
        <w:keepNext w:val="0"/>
        <w:keepLines w:val="0"/>
        <w:pageBreakBefore w:val="0"/>
        <w:widowControl w:val="0"/>
        <w:kinsoku/>
        <w:wordWrap/>
        <w:overflowPunct/>
        <w:topLinePunct w:val="0"/>
        <w:autoSpaceDE/>
        <w:autoSpaceDN/>
        <w:bidi w:val="0"/>
        <w:adjustRightInd/>
        <w:snapToGrid/>
        <w:spacing w:line="288" w:lineRule="auto"/>
        <w:ind w:left="0" w:leftChars="0"/>
        <w:jc w:val="center"/>
        <w:textAlignment w:val="auto"/>
        <w:rPr>
          <w:rFonts w:hint="eastAsia" w:ascii="仿宋" w:hAnsi="仿宋" w:eastAsia="仿宋" w:cs="仿宋"/>
          <w:sz w:val="28"/>
          <w:szCs w:val="28"/>
        </w:rPr>
      </w:pPr>
      <w:r>
        <w:rPr>
          <w:rFonts w:hint="eastAsia" w:ascii="仿宋" w:hAnsi="仿宋" w:eastAsia="仿宋" w:cs="仿宋"/>
          <w:sz w:val="28"/>
          <w:szCs w:val="28"/>
        </w:rPr>
        <w:t>陈红星  徐德彩</w:t>
      </w:r>
      <w:bookmarkStart w:id="6" w:name="_GoBack"/>
      <w:bookmarkEnd w:id="6"/>
    </w:p>
    <w:p>
      <w:pPr>
        <w:pStyle w:val="13"/>
        <w:keepNext w:val="0"/>
        <w:keepLines w:val="0"/>
        <w:pageBreakBefore w:val="0"/>
        <w:kinsoku/>
        <w:wordWrap/>
        <w:overflowPunct/>
        <w:topLinePunct w:val="0"/>
        <w:autoSpaceDE/>
        <w:autoSpaceDN/>
        <w:bidi w:val="0"/>
        <w:spacing w:line="360" w:lineRule="auto"/>
        <w:ind w:left="0" w:leftChars="0" w:firstLine="0" w:firstLineChars="0"/>
        <w:jc w:val="both"/>
        <w:outlineLvl w:val="0"/>
        <w:rPr>
          <w:rFonts w:hint="eastAsia" w:ascii="仿宋" w:hAnsi="仿宋" w:eastAsia="仿宋" w:cs="仿宋"/>
          <w:b/>
          <w:bCs/>
          <w:sz w:val="32"/>
          <w:szCs w:val="32"/>
        </w:rPr>
      </w:pPr>
      <w:r>
        <w:rPr>
          <w:rFonts w:hint="eastAsia" w:ascii="仿宋" w:hAnsi="仿宋" w:eastAsia="仿宋" w:cs="仿宋"/>
          <w:b/>
          <w:bCs/>
          <w:sz w:val="32"/>
          <w:szCs w:val="32"/>
        </w:rPr>
        <w:t>一、项目基本概况</w:t>
      </w:r>
    </w:p>
    <w:p>
      <w:pPr>
        <w:pStyle w:val="13"/>
        <w:keepNext w:val="0"/>
        <w:keepLines w:val="0"/>
        <w:pageBreakBefore w:val="0"/>
        <w:kinsoku/>
        <w:wordWrap/>
        <w:overflowPunct/>
        <w:topLinePunct w:val="0"/>
        <w:autoSpaceDE/>
        <w:autoSpaceDN/>
        <w:bidi w:val="0"/>
        <w:adjustRightInd w:val="0"/>
        <w:snapToGrid w:val="0"/>
        <w:spacing w:line="360" w:lineRule="auto"/>
        <w:ind w:left="0" w:leftChars="0" w:firstLine="482"/>
        <w:jc w:val="left"/>
        <w:outlineLvl w:val="1"/>
        <w:rPr>
          <w:rFonts w:hint="eastAsia" w:ascii="仿宋" w:hAnsi="仿宋" w:eastAsia="仿宋" w:cs="仿宋"/>
          <w:b/>
          <w:sz w:val="24"/>
          <w:szCs w:val="24"/>
        </w:rPr>
      </w:pPr>
      <w:r>
        <w:rPr>
          <w:rFonts w:hint="eastAsia" w:ascii="仿宋" w:hAnsi="仿宋" w:eastAsia="仿宋" w:cs="仿宋"/>
          <w:b/>
          <w:sz w:val="24"/>
          <w:szCs w:val="24"/>
        </w:rPr>
        <w:t>1．项目概况</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sz w:val="24"/>
          <w:szCs w:val="24"/>
        </w:rPr>
      </w:pPr>
      <w:r>
        <w:rPr>
          <w:rFonts w:hint="eastAsia" w:ascii="仿宋" w:hAnsi="仿宋" w:eastAsia="仿宋" w:cs="仿宋"/>
          <w:sz w:val="24"/>
          <w:szCs w:val="24"/>
        </w:rPr>
        <w:t>某垃圾焚烧发电工程处理规模确定为3800吨/日，建设5条850吨/日垃圾焚烧生产线，每条垃圾焚烧生产线配置一套烟气净化系统，余热锅炉产出的蒸汽供3台45MW凝汽式汽轮发机，配3台50MW发电机。应急填埋场总填埋库容300万㎥。项目采用目前世界一流的技术和高标准进行建设，烟气排放达到并优于欧盟最新标准。焚烧炉、余热锅炉、烟气净化系统关键设备采用国际先进设备。全厂采用最先进的自动控制技术，设备运行状态进行全过程监控，确保设备可靠、安全运行。厂区内配套建设绿化景观、参观休闲、科普教育等去工业化、环境友好设施，强化环境恶臭控制措施，提高环境恶臭控制水平，使之成为“生产、办公、生活、教育、旅游”五位一体的亲民示范项目。</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sz w:val="24"/>
          <w:szCs w:val="24"/>
        </w:rPr>
      </w:pPr>
      <w:r>
        <w:rPr>
          <w:rFonts w:hint="eastAsia" w:ascii="仿宋" w:hAnsi="仿宋" w:eastAsia="仿宋" w:cs="仿宋"/>
          <w:sz w:val="24"/>
          <w:szCs w:val="24"/>
        </w:rPr>
        <w:t>工程主要系统包括：垃圾焚烧和发电系统、垃圾接收及供料系统、除灰渣系统、水处理系统、供排水系统、电气系统、热工控制系统和配套的附属生产系统（不含渗滤液处理系统）等。另外与厂址有关的单项工程：包括厂区内的工程、垃圾填埋场工程、厂区外的工程、地基处理工程、厂区和施工区土石方工程、临时工程及特殊项目工程等。</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sz w:val="24"/>
          <w:szCs w:val="24"/>
        </w:rPr>
      </w:pPr>
      <w:r>
        <w:rPr>
          <w:rFonts w:hint="eastAsia" w:ascii="仿宋" w:hAnsi="仿宋" w:eastAsia="仿宋" w:cs="仿宋"/>
          <w:sz w:val="24"/>
          <w:szCs w:val="24"/>
        </w:rPr>
        <w:t>本工程地理位置，东北、东南两面环山，占地面积约为120766㎡。拟建场地原始地貌为低丘、台地。厂址东、南、北三侧为低丘台地，地势较高，中间为平地，地势较低，地面高程一般为36.51～50.02m。地震设防烈度为7度。</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sz w:val="28"/>
          <w:szCs w:val="28"/>
        </w:rPr>
      </w:pPr>
      <w:r>
        <w:rPr>
          <w:rFonts w:hint="eastAsia" w:ascii="仿宋" w:hAnsi="仿宋" w:eastAsia="仿宋" w:cs="仿宋"/>
          <w:sz w:val="24"/>
          <w:szCs w:val="24"/>
        </w:rPr>
        <w:t>该工程系目前国内建设规模最大、装备水平最高、建筑整体形象最优的大型生活垃圾焚烧发电厂</w:t>
      </w:r>
      <w:r>
        <w:rPr>
          <w:rFonts w:hint="eastAsia" w:ascii="仿宋" w:hAnsi="仿宋" w:eastAsia="仿宋" w:cs="仿宋"/>
          <w:sz w:val="24"/>
          <w:szCs w:val="24"/>
          <w:lang w:eastAsia="zh-CN"/>
        </w:rPr>
        <w:t>，</w:t>
      </w:r>
      <w:r>
        <w:rPr>
          <w:rFonts w:hint="eastAsia" w:ascii="仿宋" w:hAnsi="仿宋" w:eastAsia="仿宋" w:cs="仿宋"/>
          <w:sz w:val="24"/>
          <w:szCs w:val="24"/>
        </w:rPr>
        <w:t>本项目总投资约为336700万元，2015 年年底场平动工，预计2019年底全部建设完成。</w:t>
      </w:r>
    </w:p>
    <w:p>
      <w:pPr>
        <w:keepNext w:val="0"/>
        <w:keepLines w:val="0"/>
        <w:pageBreakBefore w:val="0"/>
        <w:numPr>
          <w:ilvl w:val="0"/>
          <w:numId w:val="1"/>
        </w:numPr>
        <w:kinsoku/>
        <w:wordWrap/>
        <w:overflowPunct/>
        <w:topLinePunct w:val="0"/>
        <w:autoSpaceDE/>
        <w:autoSpaceDN/>
        <w:bidi w:val="0"/>
        <w:adjustRightInd w:val="0"/>
        <w:snapToGrid w:val="0"/>
        <w:spacing w:line="360" w:lineRule="auto"/>
        <w:ind w:left="0" w:leftChars="0" w:firstLine="482" w:firstLineChars="200"/>
        <w:outlineLvl w:val="1"/>
        <w:rPr>
          <w:rFonts w:hint="eastAsia" w:ascii="仿宋" w:hAnsi="仿宋" w:eastAsia="仿宋" w:cs="仿宋"/>
          <w:b/>
          <w:sz w:val="24"/>
          <w:szCs w:val="24"/>
        </w:rPr>
      </w:pPr>
      <w:r>
        <w:rPr>
          <w:rFonts w:hint="eastAsia" w:ascii="仿宋" w:hAnsi="仿宋" w:eastAsia="仿宋" w:cs="仿宋"/>
          <w:b/>
          <w:sz w:val="24"/>
          <w:szCs w:val="24"/>
        </w:rPr>
        <w:t xml:space="preserve">项目特点 </w:t>
      </w:r>
    </w:p>
    <w:p>
      <w:pPr>
        <w:keepNext w:val="0"/>
        <w:keepLines w:val="0"/>
        <w:pageBreakBefore w:val="0"/>
        <w:numPr>
          <w:ilvl w:val="0"/>
          <w:numId w:val="0"/>
        </w:numPr>
        <w:kinsoku/>
        <w:wordWrap/>
        <w:overflowPunct/>
        <w:topLinePunct w:val="0"/>
        <w:autoSpaceDE/>
        <w:autoSpaceDN/>
        <w:bidi w:val="0"/>
        <w:adjustRightInd w:val="0"/>
        <w:snapToGrid w:val="0"/>
        <w:spacing w:line="360" w:lineRule="auto"/>
        <w:ind w:firstLine="420" w:firstLineChars="0"/>
        <w:outlineLvl w:val="1"/>
        <w:rPr>
          <w:rFonts w:hint="eastAsia" w:ascii="仿宋" w:hAnsi="仿宋" w:eastAsia="仿宋" w:cs="仿宋"/>
          <w:sz w:val="24"/>
          <w:szCs w:val="24"/>
        </w:rPr>
      </w:pPr>
      <w:r>
        <w:rPr>
          <w:rFonts w:hint="eastAsia" w:ascii="仿宋" w:hAnsi="仿宋" w:eastAsia="仿宋" w:cs="仿宋"/>
          <w:sz w:val="24"/>
          <w:szCs w:val="24"/>
        </w:rPr>
        <w:t>该工程的主要特点有：</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sz w:val="24"/>
          <w:szCs w:val="24"/>
        </w:rPr>
      </w:pPr>
      <w:r>
        <w:rPr>
          <w:rFonts w:hint="eastAsia" w:ascii="仿宋" w:hAnsi="仿宋" w:eastAsia="仿宋" w:cs="仿宋"/>
          <w:sz w:val="24"/>
          <w:szCs w:val="24"/>
        </w:rPr>
        <w:t>（1）基础深，局部深度超过±0.00米以下20米，所有承台基础都有钢筋混凝土灌注桩；</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sz w:val="24"/>
          <w:szCs w:val="24"/>
        </w:rPr>
      </w:pPr>
      <w:r>
        <w:rPr>
          <w:rFonts w:hint="eastAsia" w:ascii="仿宋" w:hAnsi="仿宋" w:eastAsia="仿宋" w:cs="仿宋"/>
          <w:sz w:val="24"/>
          <w:szCs w:val="24"/>
        </w:rPr>
        <w:t>（2）施工场地狭窄，西边是公路，东边是山体，对工程设计及现场施工管理带来难度；</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sz w:val="24"/>
          <w:szCs w:val="24"/>
        </w:rPr>
      </w:pPr>
      <w:r>
        <w:rPr>
          <w:rFonts w:hint="eastAsia" w:ascii="仿宋" w:hAnsi="仿宋" w:eastAsia="仿宋" w:cs="仿宋"/>
          <w:sz w:val="24"/>
          <w:szCs w:val="24"/>
        </w:rPr>
        <w:t>（3）三边工程，对工程造价控制增加不可预测性。</w:t>
      </w:r>
    </w:p>
    <w:p>
      <w:pPr>
        <w:keepNext w:val="0"/>
        <w:keepLines w:val="0"/>
        <w:pageBreakBefore w:val="0"/>
        <w:kinsoku/>
        <w:wordWrap/>
        <w:overflowPunct/>
        <w:topLinePunct w:val="0"/>
        <w:autoSpaceDE/>
        <w:autoSpaceDN/>
        <w:bidi w:val="0"/>
        <w:adjustRightInd w:val="0"/>
        <w:snapToGrid w:val="0"/>
        <w:spacing w:line="360" w:lineRule="auto"/>
        <w:ind w:left="0" w:leftChars="0" w:firstLine="200"/>
        <w:rPr>
          <w:rFonts w:hint="eastAsia" w:ascii="仿宋" w:hAnsi="仿宋" w:eastAsia="仿宋" w:cs="仿宋"/>
          <w:sz w:val="24"/>
          <w:szCs w:val="24"/>
        </w:rPr>
      </w:pPr>
      <w:r>
        <w:rPr>
          <w:rFonts w:hint="eastAsia" w:ascii="仿宋" w:hAnsi="仿宋" w:eastAsia="仿宋" w:cs="仿宋"/>
          <w:sz w:val="24"/>
          <w:szCs w:val="24"/>
        </w:rPr>
        <w:t>上述项目特点，在咨询服务过程中，需综合考虑各方因素，协助建设单位有效推进项目实施。</w:t>
      </w:r>
    </w:p>
    <w:p>
      <w:pPr>
        <w:keepNext w:val="0"/>
        <w:keepLines w:val="0"/>
        <w:pageBreakBefore w:val="0"/>
        <w:kinsoku/>
        <w:wordWrap/>
        <w:overflowPunct/>
        <w:topLinePunct w:val="0"/>
        <w:autoSpaceDE/>
        <w:autoSpaceDN/>
        <w:bidi w:val="0"/>
        <w:spacing w:line="360" w:lineRule="auto"/>
        <w:ind w:left="0" w:leftChars="0"/>
        <w:rPr>
          <w:rFonts w:hint="eastAsia" w:ascii="仿宋" w:hAnsi="仿宋" w:eastAsia="仿宋" w:cs="仿宋"/>
          <w:sz w:val="24"/>
          <w:szCs w:val="24"/>
        </w:rPr>
      </w:pPr>
    </w:p>
    <w:p>
      <w:pPr>
        <w:keepNext w:val="0"/>
        <w:keepLines w:val="0"/>
        <w:pageBreakBefore w:val="0"/>
        <w:numPr>
          <w:ilvl w:val="0"/>
          <w:numId w:val="2"/>
        </w:numPr>
        <w:kinsoku/>
        <w:wordWrap/>
        <w:overflowPunct/>
        <w:topLinePunct w:val="0"/>
        <w:autoSpaceDE/>
        <w:autoSpaceDN/>
        <w:bidi w:val="0"/>
        <w:spacing w:line="360" w:lineRule="auto"/>
        <w:ind w:left="0" w:leftChars="0"/>
        <w:jc w:val="center"/>
        <w:outlineLvl w:val="0"/>
        <w:rPr>
          <w:rFonts w:hint="eastAsia" w:ascii="仿宋" w:hAnsi="仿宋" w:eastAsia="仿宋" w:cs="仿宋"/>
          <w:b/>
          <w:bCs/>
          <w:sz w:val="32"/>
          <w:szCs w:val="32"/>
        </w:rPr>
      </w:pPr>
      <w:r>
        <w:rPr>
          <w:rFonts w:hint="eastAsia" w:ascii="仿宋" w:hAnsi="仿宋" w:eastAsia="仿宋" w:cs="仿宋"/>
          <w:b/>
          <w:bCs/>
          <w:sz w:val="32"/>
          <w:szCs w:val="32"/>
        </w:rPr>
        <w:t>咨询服务范围、组织模式及业主需要提供的工作成果</w:t>
      </w:r>
    </w:p>
    <w:p>
      <w:pPr>
        <w:keepNext w:val="0"/>
        <w:keepLines w:val="0"/>
        <w:pageBreakBefore w:val="0"/>
        <w:kinsoku/>
        <w:wordWrap/>
        <w:overflowPunct/>
        <w:topLinePunct w:val="0"/>
        <w:autoSpaceDE/>
        <w:autoSpaceDN/>
        <w:bidi w:val="0"/>
        <w:adjustRightInd w:val="0"/>
        <w:snapToGrid w:val="0"/>
        <w:spacing w:line="360" w:lineRule="auto"/>
        <w:ind w:left="0" w:leftChars="0" w:firstLine="482" w:firstLineChars="200"/>
        <w:outlineLvl w:val="1"/>
        <w:rPr>
          <w:rFonts w:hint="eastAsia" w:ascii="仿宋" w:hAnsi="仿宋" w:eastAsia="仿宋" w:cs="仿宋"/>
          <w:sz w:val="24"/>
          <w:szCs w:val="24"/>
        </w:rPr>
      </w:pPr>
      <w:r>
        <w:rPr>
          <w:rFonts w:hint="eastAsia" w:ascii="仿宋" w:hAnsi="仿宋" w:eastAsia="仿宋" w:cs="仿宋"/>
          <w:b/>
          <w:bCs/>
          <w:sz w:val="24"/>
          <w:szCs w:val="24"/>
        </w:rPr>
        <w:t>1.咨询服务范围和组织模式</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sz w:val="24"/>
          <w:szCs w:val="24"/>
        </w:rPr>
      </w:pPr>
      <w:r>
        <w:rPr>
          <w:rFonts w:hint="eastAsia" w:ascii="仿宋" w:hAnsi="仿宋" w:eastAsia="仿宋" w:cs="仿宋"/>
          <w:sz w:val="24"/>
          <w:szCs w:val="24"/>
        </w:rPr>
        <w:t>本次咨询基于项目全过程管理，江苏兴光管理项目有限公司及江苏兴光会计师事务所成立联合咨询组驻场进行咨询服务，其中江苏兴光项目管理有限公司作为联合体的责任主体对项目的全过程咨询负责，项目组主要在技术、经济、管理、财务、法律等方面提供咨询。主要工作范围：</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（1）审核项目的工程概算；</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（2）审核单位工程的招标清单和招标控制价；</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（3）施工阶段全过程跟踪造价咨询服务，同时根据工程进展，对造价咨询单位和业主提供的各项工程造价进行审核、并出具相应的审核报告；</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（4）对前期工作及发生的费用进行审计，出具前期费用专项审计报告；</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（5）对项目有关的成本费用发生过程进行监控并出具财务决算审计报告；</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（6）在过程审计中对项目投入、施工、资金使用、监管等方面进行全面客观公正的评估，并将评估意见和建议体现在审计报告中；</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（7）关注建设过程中重大事项或潜在风险，及时向业主及上级审计部门反映汇报。</w:t>
      </w:r>
    </w:p>
    <w:p>
      <w:pPr>
        <w:keepNext w:val="0"/>
        <w:keepLines w:val="0"/>
        <w:pageBreakBefore w:val="0"/>
        <w:kinsoku/>
        <w:wordWrap/>
        <w:overflowPunct/>
        <w:topLinePunct w:val="0"/>
        <w:autoSpaceDE/>
        <w:autoSpaceDN/>
        <w:bidi w:val="0"/>
        <w:adjustRightInd w:val="0"/>
        <w:snapToGrid w:val="0"/>
        <w:spacing w:line="360" w:lineRule="auto"/>
        <w:ind w:left="0" w:leftChars="0" w:firstLine="482" w:firstLineChars="200"/>
        <w:outlineLvl w:val="1"/>
        <w:rPr>
          <w:rFonts w:hint="eastAsia" w:ascii="仿宋" w:hAnsi="仿宋" w:eastAsia="仿宋" w:cs="仿宋"/>
          <w:sz w:val="24"/>
          <w:szCs w:val="24"/>
        </w:rPr>
      </w:pPr>
      <w:r>
        <w:rPr>
          <w:rFonts w:hint="eastAsia" w:ascii="仿宋" w:hAnsi="仿宋" w:eastAsia="仿宋" w:cs="仿宋"/>
          <w:b/>
          <w:bCs/>
          <w:sz w:val="24"/>
          <w:szCs w:val="24"/>
        </w:rPr>
        <w:t>2.咨询服务组织模式</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bCs/>
          <w:szCs w:val="21"/>
        </w:rPr>
      </w:pPr>
      <w:r>
        <w:rPr>
          <w:rFonts w:hint="eastAsia" w:ascii="仿宋" w:hAnsi="仿宋" w:eastAsia="仿宋" w:cs="仿宋"/>
          <w:sz w:val="24"/>
          <w:szCs w:val="24"/>
        </w:rPr>
        <w:t>根据项目特点和业主的要求，成立内部项目组织架构，</w:t>
      </w:r>
      <w:r>
        <w:rPr>
          <w:rFonts w:hint="eastAsia" w:ascii="仿宋" w:hAnsi="仿宋" w:eastAsia="仿宋" w:cs="仿宋"/>
          <w:kern w:val="0"/>
          <w:sz w:val="24"/>
        </w:rPr>
        <w:t>对业主委托的造价咨询单位和业主提供的各项工程造价进行审计、并出具相应的审计报告</w:t>
      </w:r>
    </w:p>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21"/>
        </w:rPr>
      </w:pPr>
    </w:p>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21"/>
        </w:rPr>
      </w:pPr>
    </w:p>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21"/>
        </w:rPr>
      </w:pPr>
      <w:r>
        <w:rPr>
          <w:rFonts w:hint="eastAsia" w:ascii="仿宋" w:hAnsi="仿宋" w:eastAsia="仿宋" w:cs="仿宋"/>
          <w:sz w:val="21"/>
        </w:rPr>
        <w:pict>
          <v:group id="_x0000_s1051" o:spid="_x0000_s1051" o:spt="203" style="height:239.55pt;width:432pt;" coordsize="5486400,3042284" editas="canvas">
            <o:lock v:ext="edit"/>
            <v:shape id="_x0000_s1050" o:spid="_x0000_s1050" o:spt="75" type="#_x0000_t75" style="position:absolute;left:0;top:0;height:3042284;width:5486400;" filled="f" stroked="f" coordsize="21600,21600">
              <v:path/>
              <v:fill on="f" focussize="0,0"/>
              <v:stroke on="f"/>
              <v:imagedata o:title=""/>
              <o:lock v:ext="edit" aspectratio="f"/>
            </v:shape>
            <v:rect id="_x0000_s1053" o:spid="_x0000_s1053" o:spt="1" style="position:absolute;left:1017905;top:401320;height:298450;width:3598545;" fillcolor="#FFFFFF" filled="t" stroked="t" coordsize="21600,21600">
              <v:path/>
              <v:fill on="t" color2="#FFFFFF" focussize="0,0"/>
              <v:stroke color="#000000"/>
              <v:imagedata o:title=""/>
              <o:lock v:ext="edit" aspectratio="f"/>
              <v:textbox>
                <w:txbxContent>
                  <w:p>
                    <w:pPr>
                      <w:jc w:val="center"/>
                      <w:rPr>
                        <w:rFonts w:hint="eastAsia" w:eastAsiaTheme="minorEastAsia"/>
                        <w:lang w:eastAsia="zh-CN"/>
                      </w:rPr>
                    </w:pPr>
                    <w:r>
                      <w:rPr>
                        <w:rFonts w:hint="eastAsia"/>
                        <w:lang w:eastAsia="zh-CN"/>
                      </w:rPr>
                      <w:t>某垃圾焚烧发电厂全过程工程跟踪审计项目总部</w:t>
                    </w:r>
                  </w:p>
                </w:txbxContent>
              </v:textbox>
            </v:rect>
            <v:rect id="_x0000_s1054" o:spid="_x0000_s1054" o:spt="1" style="position:absolute;left:492760;top:952500;height:292100;width:1594485;" fillcolor="#FFFFFF" filled="t" stroked="t" coordsize="21600,21600">
              <v:path/>
              <v:fill on="t" color2="#FFFFFF" focussize="0,0"/>
              <v:stroke color="#000000" joinstyle="miter"/>
              <v:imagedata o:title=""/>
              <o:lock v:ext="edit" aspectratio="f"/>
              <v:textbox>
                <w:txbxContent>
                  <w:p>
                    <w:pPr>
                      <w:jc w:val="center"/>
                      <w:rPr>
                        <w:rFonts w:hint="eastAsia" w:eastAsiaTheme="minorEastAsia"/>
                        <w:lang w:eastAsia="zh-CN"/>
                      </w:rPr>
                    </w:pPr>
                    <w:r>
                      <w:rPr>
                        <w:rFonts w:hint="eastAsia"/>
                        <w:lang w:eastAsia="zh-CN"/>
                      </w:rPr>
                      <w:t>工程审计项目部</w:t>
                    </w:r>
                  </w:p>
                </w:txbxContent>
              </v:textbox>
            </v:rect>
            <v:rect id="_x0000_s1055" o:spid="_x0000_s1055" o:spt="1" style="position:absolute;left:3343910;top:951230;height:292100;width:1587500;" fillcolor="#FFFFFF" filled="t" stroked="t" coordsize="21600,21600">
              <v:path/>
              <v:fill on="t" color2="#FFFFFF" focussize="0,0"/>
              <v:stroke color="#000000" joinstyle="miter"/>
              <v:imagedata o:title=""/>
              <o:lock v:ext="edit" aspectratio="f"/>
              <v:textbox>
                <w:txbxContent>
                  <w:p>
                    <w:pPr>
                      <w:jc w:val="center"/>
                      <w:rPr>
                        <w:rFonts w:hint="eastAsia" w:eastAsiaTheme="minorEastAsia"/>
                        <w:lang w:eastAsia="zh-CN"/>
                      </w:rPr>
                    </w:pPr>
                    <w:r>
                      <w:rPr>
                        <w:rFonts w:hint="eastAsia"/>
                        <w:lang w:eastAsia="zh-CN"/>
                      </w:rPr>
                      <w:t>财务审计项目部</w:t>
                    </w:r>
                  </w:p>
                </w:txbxContent>
              </v:textbox>
            </v:rect>
            <v:rect id="_x0000_s1056" o:spid="_x0000_s1056" o:spt="1" style="position:absolute;left:493395;top:1533525;height:1338580;width:391160;" fillcolor="#FFFFFF" filled="t" stroked="t" coordsize="21600,21600">
              <v:path/>
              <v:fill on="t" color2="#FFFFFF" focussize="0,0"/>
              <v:stroke color="#000000" joinstyle="miter"/>
              <v:imagedata o:title=""/>
              <o:lock v:ext="edit" aspectratio="f"/>
              <v:textbox style="layout-flow:vertical-ideographic;">
                <w:txbxContent>
                  <w:p>
                    <w:pPr>
                      <w:jc w:val="center"/>
                      <w:rPr>
                        <w:rFonts w:hint="eastAsia" w:eastAsiaTheme="minorEastAsia"/>
                        <w:lang w:eastAsia="zh-CN"/>
                      </w:rPr>
                    </w:pPr>
                    <w:r>
                      <w:rPr>
                        <w:rFonts w:hint="eastAsia"/>
                        <w:lang w:eastAsia="zh-CN"/>
                      </w:rPr>
                      <w:t>建筑工程审计组</w:t>
                    </w:r>
                  </w:p>
                </w:txbxContent>
              </v:textbox>
            </v:rect>
            <v:rect id="_x0000_s1057" o:spid="_x0000_s1057" o:spt="1" style="position:absolute;left:1097280;top:1533525;height:1331595;width:381000;" fillcolor="#FFFFFF" filled="t" stroked="t" coordsize="21600,21600">
              <v:path/>
              <v:fill on="t" color2="#FFFFFF" focussize="0,0"/>
              <v:stroke color="#000000" joinstyle="miter"/>
              <v:imagedata o:title=""/>
              <o:lock v:ext="edit" aspectratio="f"/>
              <v:textbox style="layout-flow:vertical-ideographic;">
                <w:txbxContent>
                  <w:p>
                    <w:pPr>
                      <w:jc w:val="center"/>
                      <w:rPr>
                        <w:rFonts w:hint="eastAsia" w:eastAsiaTheme="minorEastAsia"/>
                        <w:lang w:eastAsia="zh-CN"/>
                      </w:rPr>
                    </w:pPr>
                    <w:r>
                      <w:rPr>
                        <w:rFonts w:hint="eastAsia"/>
                        <w:lang w:eastAsia="zh-CN"/>
                      </w:rPr>
                      <w:t>安装审计组</w:t>
                    </w:r>
                  </w:p>
                </w:txbxContent>
              </v:textbox>
            </v:rect>
            <v:rect id="_x0000_s1058" o:spid="_x0000_s1058" o:spt="1" style="position:absolute;left:1682750;top:1533525;height:1327150;width:381000;" fillcolor="#FFFFFF" filled="t" stroked="t" coordsize="21600,21600">
              <v:path/>
              <v:fill on="t" color2="#FFFFFF" focussize="0,0"/>
              <v:stroke color="#000000" joinstyle="miter"/>
              <v:imagedata o:title=""/>
              <o:lock v:ext="edit" aspectratio="f"/>
              <v:textbox style="layout-flow:vertical-ideographic;">
                <w:txbxContent>
                  <w:p>
                    <w:pPr>
                      <w:jc w:val="center"/>
                      <w:rPr>
                        <w:rFonts w:hint="eastAsia" w:eastAsiaTheme="minorEastAsia"/>
                        <w:lang w:eastAsia="zh-CN"/>
                      </w:rPr>
                    </w:pPr>
                    <w:r>
                      <w:rPr>
                        <w:rFonts w:hint="eastAsia"/>
                        <w:lang w:eastAsia="zh-CN"/>
                      </w:rPr>
                      <w:t>工程信息资料服务组</w:t>
                    </w:r>
                  </w:p>
                </w:txbxContent>
              </v:textbox>
            </v:rect>
            <v:rect id="_x0000_s1059" o:spid="_x0000_s1059" o:spt="1" style="position:absolute;left:3342640;top:1533525;height:1397000;width:381000;" fillcolor="#FFFFFF" filled="t" stroked="t" coordsize="21600,21600">
              <v:path/>
              <v:fill on="t" color2="#FFFFFF" focussize="0,0"/>
              <v:stroke color="#000000" joinstyle="miter"/>
              <v:imagedata o:title=""/>
              <o:lock v:ext="edit" aspectratio="f"/>
              <v:textbox style="layout-flow:vertical-ideographic;">
                <w:txbxContent>
                  <w:p>
                    <w:pPr>
                      <w:jc w:val="center"/>
                      <w:rPr>
                        <w:rFonts w:hint="eastAsia" w:eastAsiaTheme="minorEastAsia"/>
                        <w:lang w:eastAsia="zh-CN"/>
                      </w:rPr>
                    </w:pPr>
                    <w:r>
                      <w:rPr>
                        <w:rFonts w:hint="eastAsia"/>
                        <w:lang w:eastAsia="zh-CN"/>
                      </w:rPr>
                      <w:t>财务审计组</w:t>
                    </w:r>
                  </w:p>
                </w:txbxContent>
              </v:textbox>
            </v:rect>
            <v:rect id="_x0000_s1060" o:spid="_x0000_s1060" o:spt="1" style="position:absolute;left:3949065;top:1533525;height:1397000;width:381000;" fillcolor="#FFFFFF" filled="t" stroked="t" coordsize="21600,21600">
              <v:path/>
              <v:fill on="t" color2="#FFFFFF" focussize="0,0"/>
              <v:stroke color="#000000" joinstyle="miter"/>
              <v:imagedata o:title=""/>
              <o:lock v:ext="edit" aspectratio="f"/>
              <v:textbox style="layout-flow:vertical-ideographic;">
                <w:txbxContent>
                  <w:p>
                    <w:pPr>
                      <w:jc w:val="center"/>
                      <w:rPr>
                        <w:rFonts w:hint="eastAsia" w:eastAsiaTheme="minorEastAsia"/>
                        <w:lang w:eastAsia="zh-CN"/>
                      </w:rPr>
                    </w:pPr>
                    <w:r>
                      <w:rPr>
                        <w:rFonts w:hint="eastAsia"/>
                        <w:lang w:eastAsia="zh-CN"/>
                      </w:rPr>
                      <w:t>财务咨询组</w:t>
                    </w:r>
                  </w:p>
                </w:txbxContent>
              </v:textbox>
            </v:rect>
            <v:rect id="_x0000_s1061" o:spid="_x0000_s1061" o:spt="1" style="position:absolute;left:4533265;top:1533525;height:1397000;width:381000;" fillcolor="#FFFFFF" filled="t" stroked="t" coordsize="21600,21600">
              <v:path/>
              <v:fill on="t" color2="#FFFFFF" focussize="0,0"/>
              <v:stroke color="#000000" joinstyle="miter"/>
              <v:imagedata o:title=""/>
              <o:lock v:ext="edit" aspectratio="f"/>
              <v:textbox style="layout-flow:vertical-ideographic;">
                <w:txbxContent>
                  <w:p>
                    <w:pPr>
                      <w:jc w:val="center"/>
                      <w:rPr>
                        <w:rFonts w:hint="eastAsia" w:eastAsiaTheme="minorEastAsia"/>
                        <w:lang w:eastAsia="zh-CN"/>
                      </w:rPr>
                    </w:pPr>
                    <w:r>
                      <w:rPr>
                        <w:rFonts w:hint="eastAsia"/>
                        <w:lang w:eastAsia="zh-CN"/>
                      </w:rPr>
                      <w:t>财务信息资料服务组</w:t>
                    </w:r>
                  </w:p>
                </w:txbxContent>
              </v:textbox>
            </v:rect>
            <v:shape id="_x0000_s1064" o:spid="_x0000_s1064" o:spt="34" type="#_x0000_t34" style="position:absolute;left:1927543;top:62547;height:1527175;width:252730;rotation:5898240f;" fillcolor="#FFFFFF" filled="t" stroked="t" coordsize="21600,21600" adj="10773">
              <v:path arrowok="t"/>
              <v:fill on="t" color2="#FFFFFF" focussize="0,0"/>
              <v:stroke color="#000000"/>
              <v:imagedata o:title=""/>
              <o:lock v:ext="edit" aspectratio="f"/>
            </v:shape>
            <v:shape id="_x0000_s1065" o:spid="_x0000_s1065" o:spt="34" type="#_x0000_t34" style="position:absolute;left:3351848;top:165417;flip:y;height:1320165;width:251460;rotation:-5898240f;" filled="f" stroked="t" coordsize="21600,21600" adj="10773">
              <v:path arrowok="t"/>
              <v:fill on="f" focussize="0,0"/>
              <v:stroke color="#000000" joinstyle="miter"/>
              <v:imagedata o:title=""/>
              <o:lock v:ext="edit" aspectratio="f"/>
            </v:shape>
            <v:shape id="_x0000_s1066" o:spid="_x0000_s1066" o:spt="34" type="#_x0000_t34" style="position:absolute;left:845185;top:1088390;height:601345;width:288925;rotation:5898240f;" filled="f" stroked="t" coordsize="21600,21600" adj="10824">
              <v:path arrowok="t"/>
              <v:fill on="f" focussize="0,0"/>
              <v:stroke color="#000000" joinstyle="miter"/>
              <v:imagedata o:title=""/>
              <o:lock v:ext="edit" aspectratio="f"/>
            </v:shape>
            <v:shape id="_x0000_s1067" o:spid="_x0000_s1067" o:spt="34" type="#_x0000_t34" style="position:absolute;left:1437323;top:1097597;flip:y;height:582930;width:288925;rotation:-5898240f;" filled="f" stroked="t" coordsize="21600,21600" adj="10800">
              <v:path arrowok="t"/>
              <v:fill on="f" focussize="0,0"/>
              <v:stroke color="#000000" joinstyle="miter"/>
              <v:imagedata o:title=""/>
              <o:lock v:ext="edit" aspectratio="f"/>
            </v:shape>
            <v:shape id="_x0000_s1068" o:spid="_x0000_s1068" o:spt="34" type="#_x0000_t34" style="position:absolute;left:3690303;top:1086167;height:604520;width:290195;rotation:-5898240f;" filled="f" stroked="t" coordsize="21600,21600" adj="10800">
              <v:path arrowok="t"/>
              <v:fill on="f" focussize="0,0"/>
              <v:stroke color="#000000" joinstyle="miter"/>
              <v:imagedata o:title=""/>
              <o:lock v:ext="edit" aspectratio="f"/>
            </v:shape>
            <v:shape id="_x0000_s1069" o:spid="_x0000_s1069" o:spt="34" type="#_x0000_t34" style="position:absolute;left:4285615;top:1095375;flip:y;height:586105;width:290195;rotation:5898240f;" filled="f" stroked="t" coordsize="21600,21600" adj="10776">
              <v:path arrowok="t"/>
              <v:fill on="f" focussize="0,0"/>
              <v:stroke color="#000000" joinstyle="miter"/>
              <v:imagedata o:title=""/>
              <o:lock v:ext="edit" aspectratio="f"/>
            </v:shape>
            <v:shape id="_x0000_s1070" o:spid="_x0000_s1070" o:spt="34" type="#_x0000_t34" style="position:absolute;left:1144588;top:1387792;height:2540;width:288925;rotation:-5898240f;" filled="f" stroked="t" coordsize="21600,21600" adj="10800">
              <v:path arrowok="t"/>
              <v:fill on="f" focussize="0,0"/>
              <v:stroke color="#000000" joinstyle="miter"/>
              <v:imagedata o:title=""/>
              <o:lock v:ext="edit" aspectratio="f"/>
            </v:shape>
            <v:shape id="_x0000_s1071" o:spid="_x0000_s1071" o:spt="34" type="#_x0000_t34" style="position:absolute;left:3993515;top:1387475;flip:y;height:1905;width:290195;rotation:-5898240f;" filled="f" stroked="t" coordsize="21600,21600" adj="10824">
              <v:path arrowok="t"/>
              <v:fill on="f" focussize="0,0"/>
              <v:stroke color="#000000" joinstyle="miter"/>
              <v:imagedata o:title=""/>
              <o:lock v:ext="edit" aspectratio="f"/>
            </v:shape>
            <w10:wrap type="none"/>
            <w10:anchorlock/>
          </v:group>
        </w:pict>
      </w:r>
    </w:p>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21"/>
          <w:lang w:eastAsia="zh-CN"/>
        </w:rPr>
      </w:pPr>
      <w:r>
        <w:rPr>
          <w:rFonts w:hint="eastAsia" w:ascii="仿宋" w:hAnsi="仿宋" w:eastAsia="仿宋" w:cs="仿宋"/>
          <w:bCs/>
          <w:kern w:val="0"/>
          <w:szCs w:val="21"/>
        </w:rPr>
        <w:t xml:space="preserve">图1  </w:t>
      </w:r>
      <w:r>
        <w:rPr>
          <w:rFonts w:hint="eastAsia" w:ascii="仿宋" w:hAnsi="仿宋" w:eastAsia="仿宋" w:cs="仿宋"/>
          <w:bCs/>
          <w:szCs w:val="21"/>
        </w:rPr>
        <w:t>项目组织机构图</w:t>
      </w:r>
    </w:p>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bCs/>
          <w:szCs w:val="21"/>
        </w:rPr>
      </w:pP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2" w:firstLineChars="200"/>
        <w:outlineLvl w:val="1"/>
        <w:rPr>
          <w:rFonts w:hint="eastAsia" w:ascii="仿宋" w:hAnsi="仿宋" w:eastAsia="仿宋" w:cs="仿宋"/>
          <w:b/>
          <w:bCs/>
          <w:kern w:val="0"/>
          <w:sz w:val="24"/>
          <w:szCs w:val="24"/>
        </w:rPr>
      </w:pPr>
      <w:r>
        <w:rPr>
          <w:rFonts w:hint="eastAsia" w:ascii="仿宋" w:hAnsi="仿宋" w:eastAsia="仿宋" w:cs="仿宋"/>
          <w:b/>
          <w:bCs/>
          <w:kern w:val="0"/>
          <w:sz w:val="24"/>
          <w:szCs w:val="24"/>
        </w:rPr>
        <w:t>3、全过程工程咨询工作要求及需提供成果</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2" w:firstLineChars="200"/>
        <w:rPr>
          <w:rFonts w:hint="eastAsia" w:ascii="仿宋" w:hAnsi="仿宋" w:eastAsia="仿宋" w:cs="仿宋"/>
          <w:b/>
          <w:bCs/>
          <w:kern w:val="0"/>
          <w:sz w:val="24"/>
          <w:szCs w:val="24"/>
        </w:rPr>
      </w:pPr>
      <w:r>
        <w:rPr>
          <w:rFonts w:hint="eastAsia" w:ascii="仿宋" w:hAnsi="仿宋" w:eastAsia="仿宋" w:cs="仿宋"/>
          <w:b/>
          <w:kern w:val="0"/>
          <w:sz w:val="24"/>
          <w:szCs w:val="24"/>
        </w:rPr>
        <w:t>（1）</w:t>
      </w:r>
      <w:r>
        <w:rPr>
          <w:rFonts w:hint="eastAsia" w:ascii="仿宋" w:hAnsi="仿宋" w:eastAsia="仿宋" w:cs="仿宋"/>
          <w:b/>
          <w:bCs/>
          <w:kern w:val="0"/>
          <w:sz w:val="24"/>
          <w:szCs w:val="24"/>
        </w:rPr>
        <w:t xml:space="preserve">审计准备阶段 </w:t>
      </w:r>
    </w:p>
    <w:p>
      <w:pPr>
        <w:pStyle w:val="13"/>
        <w:keepNext w:val="0"/>
        <w:keepLines w:val="0"/>
        <w:pageBreakBefore w:val="0"/>
        <w:widowControl/>
        <w:kinsoku/>
        <w:wordWrap/>
        <w:overflowPunct/>
        <w:topLinePunct w:val="0"/>
        <w:autoSpaceDE/>
        <w:autoSpaceDN/>
        <w:bidi w:val="0"/>
        <w:adjustRightInd w:val="0"/>
        <w:snapToGrid w:val="0"/>
        <w:spacing w:line="360" w:lineRule="auto"/>
        <w:ind w:left="0" w:leftChars="0" w:firstLine="480"/>
        <w:rPr>
          <w:rFonts w:hint="eastAsia" w:ascii="仿宋" w:hAnsi="仿宋" w:eastAsia="仿宋" w:cs="仿宋"/>
          <w:kern w:val="0"/>
          <w:sz w:val="24"/>
          <w:szCs w:val="24"/>
        </w:rPr>
      </w:pPr>
      <w:r>
        <w:rPr>
          <w:rFonts w:hint="eastAsia" w:ascii="仿宋" w:hAnsi="仿宋" w:eastAsia="仿宋" w:cs="仿宋"/>
          <w:kern w:val="0"/>
          <w:sz w:val="24"/>
          <w:szCs w:val="24"/>
        </w:rPr>
        <w:t>1）了解项目业主目前财务核算体系、项目合同、招报价、进度计划等基建基本情况,派驻审计人员熟悉现场情况和施工图纸，在项目开工后，派驻现场的审计会人员将常驻现场开展工作；</w:t>
      </w:r>
    </w:p>
    <w:p>
      <w:pPr>
        <w:pStyle w:val="13"/>
        <w:keepNext w:val="0"/>
        <w:keepLines w:val="0"/>
        <w:pageBreakBefore w:val="0"/>
        <w:widowControl/>
        <w:kinsoku/>
        <w:wordWrap/>
        <w:overflowPunct/>
        <w:topLinePunct w:val="0"/>
        <w:autoSpaceDE/>
        <w:autoSpaceDN/>
        <w:bidi w:val="0"/>
        <w:adjustRightInd w:val="0"/>
        <w:snapToGrid w:val="0"/>
        <w:spacing w:line="360" w:lineRule="auto"/>
        <w:ind w:left="0" w:leftChars="0" w:firstLine="480"/>
        <w:rPr>
          <w:rFonts w:hint="eastAsia" w:ascii="仿宋" w:hAnsi="仿宋" w:eastAsia="仿宋" w:cs="仿宋"/>
          <w:kern w:val="0"/>
          <w:sz w:val="24"/>
          <w:szCs w:val="24"/>
        </w:rPr>
      </w:pPr>
      <w:r>
        <w:rPr>
          <w:rFonts w:hint="eastAsia" w:ascii="仿宋" w:hAnsi="仿宋" w:eastAsia="仿宋" w:cs="仿宋"/>
          <w:kern w:val="0"/>
          <w:sz w:val="24"/>
          <w:szCs w:val="24"/>
        </w:rPr>
        <w:t>2）根据工程基本情况制订项目全过程审计计划；</w:t>
      </w:r>
    </w:p>
    <w:p>
      <w:pPr>
        <w:pStyle w:val="13"/>
        <w:keepNext w:val="0"/>
        <w:keepLines w:val="0"/>
        <w:pageBreakBefore w:val="0"/>
        <w:widowControl/>
        <w:kinsoku/>
        <w:wordWrap/>
        <w:overflowPunct/>
        <w:topLinePunct w:val="0"/>
        <w:autoSpaceDE/>
        <w:autoSpaceDN/>
        <w:bidi w:val="0"/>
        <w:adjustRightInd w:val="0"/>
        <w:snapToGrid w:val="0"/>
        <w:spacing w:line="360" w:lineRule="auto"/>
        <w:ind w:left="0" w:leftChars="0" w:firstLine="480"/>
        <w:rPr>
          <w:rFonts w:hint="eastAsia" w:ascii="仿宋" w:hAnsi="仿宋" w:eastAsia="仿宋" w:cs="仿宋"/>
          <w:kern w:val="0"/>
          <w:sz w:val="24"/>
          <w:szCs w:val="24"/>
        </w:rPr>
      </w:pPr>
      <w:r>
        <w:rPr>
          <w:rFonts w:hint="eastAsia" w:ascii="仿宋" w:hAnsi="仿宋" w:eastAsia="仿宋" w:cs="仿宋"/>
          <w:kern w:val="0"/>
          <w:sz w:val="24"/>
          <w:szCs w:val="24"/>
        </w:rPr>
        <w:t>3）与</w:t>
      </w:r>
      <w:r>
        <w:rPr>
          <w:rFonts w:hint="eastAsia" w:ascii="仿宋" w:hAnsi="仿宋" w:eastAsia="仿宋" w:cs="仿宋"/>
          <w:kern w:val="0"/>
          <w:sz w:val="24"/>
          <w:szCs w:val="24"/>
          <w:lang w:val="en-US" w:eastAsia="zh-CN"/>
        </w:rPr>
        <w:t>业主</w:t>
      </w:r>
      <w:r>
        <w:rPr>
          <w:rFonts w:hint="eastAsia" w:ascii="仿宋" w:hAnsi="仿宋" w:eastAsia="仿宋" w:cs="仿宋"/>
          <w:kern w:val="0"/>
          <w:sz w:val="24"/>
          <w:szCs w:val="24"/>
        </w:rPr>
        <w:t>共同确定在建工程固定资产目录、费用的分配原则等，为转固建立完整财务基础资料；</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4）对已开展的前期工作开展专项审计。关注开工前项目立项、核准审批、设计建设等程序的合法合规性、完整性等，出具阶段审计报告；</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5）开展前期费用专项审计。对项目前期费用的真实性、合法合规性，会计核算规范性等进行审计，出具前期费用专项审计报告；</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6）根据本阶段审计内容，针对工程项目管理、招报价、设备物资采购、合同签订等方面，出具阶段报告；或根据业主特别要求，出具专项审计报告。</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2" w:firstLineChars="200"/>
        <w:rPr>
          <w:rFonts w:hint="eastAsia" w:ascii="仿宋" w:hAnsi="仿宋" w:eastAsia="仿宋" w:cs="仿宋"/>
          <w:kern w:val="0"/>
          <w:sz w:val="24"/>
          <w:szCs w:val="24"/>
        </w:rPr>
      </w:pPr>
      <w:r>
        <w:rPr>
          <w:rFonts w:hint="eastAsia" w:ascii="仿宋" w:hAnsi="仿宋" w:eastAsia="仿宋" w:cs="仿宋"/>
          <w:b/>
          <w:bCs/>
          <w:kern w:val="0"/>
          <w:sz w:val="24"/>
          <w:szCs w:val="24"/>
        </w:rPr>
        <w:t>（2）审计实施阶段</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1）对施工合同及执行情况进行审计，包括总承包合同和建设单位分包合同；对大宗材料及设备采购进行审计；参加工程例会和大型材料设备采购的招投标会议；</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2）对工程实施过程中出现的重大设计变更、索赔等造成的合同变更进行审计，向项目业主提供工程变更引起的造价变动增减分析、对比建议，协助业主进行增减费用洽谈；并对变更引起的造价进行审计；</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3）对涉及造价金额比较大的签证，现场审计人员参与工程实物量的复核签证工作；并根据需要，现场审计人员参与重要部位的隐蔽验收，对隐蔽工程验收程序进行复核性审查；</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4）在</w:t>
      </w:r>
      <w:r>
        <w:rPr>
          <w:rFonts w:hint="eastAsia" w:ascii="仿宋" w:hAnsi="仿宋" w:eastAsia="仿宋" w:cs="仿宋"/>
          <w:kern w:val="0"/>
          <w:sz w:val="24"/>
          <w:szCs w:val="24"/>
          <w:lang w:val="en-US" w:eastAsia="zh-CN"/>
        </w:rPr>
        <w:t>业主</w:t>
      </w:r>
      <w:r>
        <w:rPr>
          <w:rFonts w:hint="eastAsia" w:ascii="仿宋" w:hAnsi="仿宋" w:eastAsia="仿宋" w:cs="仿宋"/>
          <w:kern w:val="0"/>
          <w:sz w:val="24"/>
          <w:szCs w:val="24"/>
        </w:rPr>
        <w:t>要求时，对超出合同约定支付的工程进度款支付提出审计意见；</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5）对</w:t>
      </w:r>
      <w:r>
        <w:rPr>
          <w:rFonts w:hint="eastAsia" w:ascii="仿宋" w:hAnsi="仿宋" w:eastAsia="仿宋" w:cs="仿宋"/>
          <w:kern w:val="0"/>
          <w:sz w:val="24"/>
          <w:szCs w:val="24"/>
          <w:lang w:val="en-US" w:eastAsia="zh-CN"/>
        </w:rPr>
        <w:t>业主委托的</w:t>
      </w:r>
      <w:r>
        <w:rPr>
          <w:rFonts w:hint="eastAsia" w:ascii="仿宋" w:hAnsi="仿宋" w:eastAsia="仿宋" w:cs="仿宋"/>
          <w:kern w:val="0"/>
          <w:sz w:val="24"/>
          <w:szCs w:val="24"/>
        </w:rPr>
        <w:t>造价咨询公司和项目业主审核过的结算报告进行审计，包括但不限于：</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 1 \* GB3 </w:instrText>
      </w:r>
      <w:r>
        <w:rPr>
          <w:rFonts w:hint="eastAsia" w:ascii="仿宋" w:hAnsi="仿宋" w:eastAsia="仿宋" w:cs="仿宋"/>
          <w:kern w:val="0"/>
          <w:sz w:val="24"/>
          <w:szCs w:val="24"/>
        </w:rPr>
        <w:fldChar w:fldCharType="separate"/>
      </w:r>
      <w:r>
        <w:rPr>
          <w:rFonts w:hint="eastAsia" w:ascii="仿宋" w:hAnsi="仿宋" w:eastAsia="仿宋" w:cs="仿宋"/>
          <w:kern w:val="0"/>
          <w:sz w:val="24"/>
          <w:szCs w:val="24"/>
        </w:rPr>
        <w:t>①</w:t>
      </w:r>
      <w:r>
        <w:rPr>
          <w:rFonts w:hint="eastAsia" w:ascii="仿宋" w:hAnsi="仿宋" w:eastAsia="仿宋" w:cs="仿宋"/>
          <w:kern w:val="0"/>
          <w:sz w:val="24"/>
          <w:szCs w:val="24"/>
        </w:rPr>
        <w:fldChar w:fldCharType="end"/>
      </w:r>
      <w:r>
        <w:rPr>
          <w:rFonts w:hint="eastAsia" w:ascii="仿宋" w:hAnsi="仿宋" w:eastAsia="仿宋" w:cs="仿宋"/>
          <w:kern w:val="0"/>
          <w:sz w:val="24"/>
          <w:szCs w:val="24"/>
        </w:rPr>
        <w:t>进行现场勘察，检查实际施工是否与竣工结算资料相符；</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 2 \* GB3 </w:instrText>
      </w:r>
      <w:r>
        <w:rPr>
          <w:rFonts w:hint="eastAsia" w:ascii="仿宋" w:hAnsi="仿宋" w:eastAsia="仿宋" w:cs="仿宋"/>
          <w:kern w:val="0"/>
          <w:sz w:val="24"/>
          <w:szCs w:val="24"/>
        </w:rPr>
        <w:fldChar w:fldCharType="separate"/>
      </w:r>
      <w:r>
        <w:rPr>
          <w:rFonts w:hint="eastAsia" w:ascii="仿宋" w:hAnsi="仿宋" w:eastAsia="仿宋" w:cs="仿宋"/>
          <w:kern w:val="0"/>
          <w:sz w:val="24"/>
          <w:szCs w:val="24"/>
        </w:rPr>
        <w:t>②</w:t>
      </w:r>
      <w:r>
        <w:rPr>
          <w:rFonts w:hint="eastAsia" w:ascii="仿宋" w:hAnsi="仿宋" w:eastAsia="仿宋" w:cs="仿宋"/>
          <w:kern w:val="0"/>
          <w:sz w:val="24"/>
          <w:szCs w:val="24"/>
        </w:rPr>
        <w:fldChar w:fldCharType="end"/>
      </w:r>
      <w:r>
        <w:rPr>
          <w:rFonts w:hint="eastAsia" w:ascii="仿宋" w:hAnsi="仿宋" w:eastAsia="仿宋" w:cs="仿宋"/>
          <w:kern w:val="0"/>
          <w:sz w:val="24"/>
          <w:szCs w:val="24"/>
        </w:rPr>
        <w:t>收集与结算资料有关的合同、地质报告、招投标文件、设计变更、工程会议纪要、工程联系单、签证资料 、设计图纸、咨询公司出具的结算书、电子文档，施工单位及咨询公司的计算底稿以及业主的审核情况等资料，审查竣工结算资料的完整性；</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 3 \* GB3 </w:instrText>
      </w:r>
      <w:r>
        <w:rPr>
          <w:rFonts w:hint="eastAsia" w:ascii="仿宋" w:hAnsi="仿宋" w:eastAsia="仿宋" w:cs="仿宋"/>
          <w:kern w:val="0"/>
          <w:sz w:val="24"/>
          <w:szCs w:val="24"/>
        </w:rPr>
        <w:fldChar w:fldCharType="separate"/>
      </w:r>
      <w:r>
        <w:rPr>
          <w:rFonts w:hint="eastAsia" w:ascii="仿宋" w:hAnsi="仿宋" w:eastAsia="仿宋" w:cs="仿宋"/>
          <w:kern w:val="0"/>
          <w:sz w:val="24"/>
          <w:szCs w:val="24"/>
        </w:rPr>
        <w:t>③</w:t>
      </w:r>
      <w:r>
        <w:rPr>
          <w:rFonts w:hint="eastAsia" w:ascii="仿宋" w:hAnsi="仿宋" w:eastAsia="仿宋" w:cs="仿宋"/>
          <w:kern w:val="0"/>
          <w:sz w:val="24"/>
          <w:szCs w:val="24"/>
        </w:rPr>
        <w:fldChar w:fldCharType="end"/>
      </w:r>
      <w:r>
        <w:rPr>
          <w:rFonts w:hint="eastAsia" w:ascii="仿宋" w:hAnsi="仿宋" w:eastAsia="仿宋" w:cs="仿宋"/>
          <w:kern w:val="0"/>
          <w:sz w:val="24"/>
          <w:szCs w:val="24"/>
        </w:rPr>
        <w:t>审计人员核实竣工图编制情况，针对结算书中的分项工程进行工程量和单价的审计，对没信息价的材料设备进行市场了解、询价，审计工程结算造价是否合理，并形成文字资料作为附件与审计报告归档；</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 4 \* GB3 </w:instrText>
      </w:r>
      <w:r>
        <w:rPr>
          <w:rFonts w:hint="eastAsia" w:ascii="仿宋" w:hAnsi="仿宋" w:eastAsia="仿宋" w:cs="仿宋"/>
          <w:kern w:val="0"/>
          <w:sz w:val="24"/>
          <w:szCs w:val="24"/>
        </w:rPr>
        <w:fldChar w:fldCharType="separate"/>
      </w:r>
      <w:r>
        <w:rPr>
          <w:rFonts w:hint="eastAsia" w:ascii="仿宋" w:hAnsi="仿宋" w:eastAsia="仿宋" w:cs="仿宋"/>
          <w:kern w:val="0"/>
          <w:sz w:val="24"/>
          <w:szCs w:val="24"/>
        </w:rPr>
        <w:t>④</w:t>
      </w:r>
      <w:r>
        <w:rPr>
          <w:rFonts w:hint="eastAsia" w:ascii="仿宋" w:hAnsi="仿宋" w:eastAsia="仿宋" w:cs="仿宋"/>
          <w:kern w:val="0"/>
          <w:sz w:val="24"/>
          <w:szCs w:val="24"/>
        </w:rPr>
        <w:fldChar w:fldCharType="end"/>
      </w:r>
      <w:r>
        <w:rPr>
          <w:rFonts w:hint="eastAsia" w:ascii="仿宋" w:hAnsi="仿宋" w:eastAsia="仿宋" w:cs="仿宋"/>
          <w:kern w:val="0"/>
          <w:sz w:val="24"/>
          <w:szCs w:val="24"/>
        </w:rPr>
        <w:t>针对结算工作出具阶段报告，或根据业主要求对重要工程结算、工程重要节点、重大事项变更等出具专项审计报告；</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 5 \* GB3 </w:instrText>
      </w:r>
      <w:r>
        <w:rPr>
          <w:rFonts w:hint="eastAsia" w:ascii="仿宋" w:hAnsi="仿宋" w:eastAsia="仿宋" w:cs="仿宋"/>
          <w:kern w:val="0"/>
          <w:sz w:val="24"/>
          <w:szCs w:val="24"/>
        </w:rPr>
        <w:fldChar w:fldCharType="separate"/>
      </w:r>
      <w:r>
        <w:rPr>
          <w:rFonts w:hint="eastAsia" w:ascii="仿宋" w:hAnsi="仿宋" w:eastAsia="仿宋" w:cs="仿宋"/>
          <w:kern w:val="0"/>
          <w:sz w:val="24"/>
          <w:szCs w:val="24"/>
        </w:rPr>
        <w:t>⑤</w:t>
      </w:r>
      <w:r>
        <w:rPr>
          <w:rFonts w:hint="eastAsia" w:ascii="仿宋" w:hAnsi="仿宋" w:eastAsia="仿宋" w:cs="仿宋"/>
          <w:kern w:val="0"/>
          <w:sz w:val="24"/>
          <w:szCs w:val="24"/>
        </w:rPr>
        <w:fldChar w:fldCharType="end"/>
      </w:r>
      <w:r>
        <w:rPr>
          <w:rFonts w:hint="eastAsia" w:ascii="仿宋" w:hAnsi="仿宋" w:eastAsia="仿宋" w:cs="仿宋"/>
          <w:kern w:val="0"/>
          <w:sz w:val="24"/>
          <w:szCs w:val="24"/>
        </w:rPr>
        <w:t>完成结算审计并出具相应报告后，结算资料转财务组进行财务分类审计，财务小组出具审计结果，财务组配合业主财务部将各工程项目转入在建工程明细帐；</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6）对承包方的索赔，向项目业主提供专业审计意见，协助项目业主与承包方协商解决；</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7）对建设资金筹措方案、方式、数额的合法性、合理性及偿还能力等，对资金支付及账务处理进行审计；为项目业主提供与该工程相关的财务和税务等方面咨询服务，并提供咨询报告；</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 xml:space="preserve">8）汇总工程结算资料，出具整个工程的结算审计报告；协助项目业主办理工程竣工决算的报批； </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9）出具整个工程的竣工财务决算审计报告，并配合项目业主建立固定资产明细帐、卡片；</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10）对工程进度进行动态跟踪审计时，应及时根据实际情况调整目标工期，对工程质量情况、工程现场管理情况进行评估。</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2" w:firstLineChars="200"/>
        <w:rPr>
          <w:rFonts w:hint="eastAsia" w:ascii="仿宋" w:hAnsi="仿宋" w:eastAsia="仿宋" w:cs="仿宋"/>
          <w:b/>
          <w:bCs/>
          <w:kern w:val="0"/>
          <w:sz w:val="24"/>
          <w:szCs w:val="24"/>
        </w:rPr>
      </w:pPr>
      <w:r>
        <w:rPr>
          <w:rFonts w:hint="eastAsia" w:ascii="仿宋" w:hAnsi="仿宋" w:eastAsia="仿宋" w:cs="仿宋"/>
          <w:b/>
          <w:bCs/>
          <w:kern w:val="0"/>
          <w:sz w:val="24"/>
          <w:szCs w:val="24"/>
        </w:rPr>
        <w:t>（3）审计完成阶段</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1）整理该项目审计资料，向</w:t>
      </w:r>
      <w:r>
        <w:rPr>
          <w:rFonts w:hint="eastAsia" w:ascii="仿宋" w:hAnsi="仿宋" w:eastAsia="仿宋" w:cs="仿宋"/>
          <w:kern w:val="0"/>
          <w:sz w:val="24"/>
          <w:szCs w:val="24"/>
          <w:lang w:val="en-US" w:eastAsia="zh-CN"/>
        </w:rPr>
        <w:t>业主</w:t>
      </w:r>
      <w:r>
        <w:rPr>
          <w:rFonts w:hint="eastAsia" w:ascii="仿宋" w:hAnsi="仿宋" w:eastAsia="仿宋" w:cs="仿宋"/>
          <w:kern w:val="0"/>
          <w:sz w:val="24"/>
          <w:szCs w:val="24"/>
        </w:rPr>
        <w:t>提交不限于以下列举内容的审计成果资料（含电子文档）：</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 1 \* GB3 </w:instrText>
      </w:r>
      <w:r>
        <w:rPr>
          <w:rFonts w:hint="eastAsia" w:ascii="仿宋" w:hAnsi="仿宋" w:eastAsia="仿宋" w:cs="仿宋"/>
          <w:kern w:val="0"/>
          <w:sz w:val="24"/>
          <w:szCs w:val="24"/>
        </w:rPr>
        <w:fldChar w:fldCharType="separate"/>
      </w:r>
      <w:r>
        <w:rPr>
          <w:rFonts w:hint="eastAsia" w:ascii="仿宋" w:hAnsi="仿宋" w:eastAsia="仿宋" w:cs="仿宋"/>
          <w:kern w:val="0"/>
          <w:sz w:val="24"/>
          <w:szCs w:val="24"/>
        </w:rPr>
        <w:t>①</w:t>
      </w:r>
      <w:r>
        <w:rPr>
          <w:rFonts w:hint="eastAsia" w:ascii="仿宋" w:hAnsi="仿宋" w:eastAsia="仿宋" w:cs="仿宋"/>
          <w:kern w:val="0"/>
          <w:sz w:val="24"/>
          <w:szCs w:val="24"/>
        </w:rPr>
        <w:fldChar w:fldCharType="end"/>
      </w:r>
      <w:r>
        <w:rPr>
          <w:rFonts w:hint="eastAsia" w:ascii="仿宋" w:hAnsi="仿宋" w:eastAsia="仿宋" w:cs="仿宋"/>
          <w:kern w:val="0"/>
          <w:sz w:val="24"/>
          <w:szCs w:val="24"/>
        </w:rPr>
        <w:t>审计资料档案目录；</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 2 \* GB3 </w:instrText>
      </w:r>
      <w:r>
        <w:rPr>
          <w:rFonts w:hint="eastAsia" w:ascii="仿宋" w:hAnsi="仿宋" w:eastAsia="仿宋" w:cs="仿宋"/>
          <w:kern w:val="0"/>
          <w:sz w:val="24"/>
          <w:szCs w:val="24"/>
        </w:rPr>
        <w:fldChar w:fldCharType="separate"/>
      </w:r>
      <w:r>
        <w:rPr>
          <w:rFonts w:hint="eastAsia" w:ascii="仿宋" w:hAnsi="仿宋" w:eastAsia="仿宋" w:cs="仿宋"/>
          <w:kern w:val="0"/>
          <w:sz w:val="24"/>
          <w:szCs w:val="24"/>
        </w:rPr>
        <w:t>②</w:t>
      </w:r>
      <w:r>
        <w:rPr>
          <w:rFonts w:hint="eastAsia" w:ascii="仿宋" w:hAnsi="仿宋" w:eastAsia="仿宋" w:cs="仿宋"/>
          <w:kern w:val="0"/>
          <w:sz w:val="24"/>
          <w:szCs w:val="24"/>
        </w:rPr>
        <w:fldChar w:fldCharType="end"/>
      </w:r>
      <w:r>
        <w:rPr>
          <w:rFonts w:hint="eastAsia" w:ascii="仿宋" w:hAnsi="仿宋" w:eastAsia="仿宋" w:cs="仿宋"/>
          <w:kern w:val="0"/>
          <w:sz w:val="24"/>
          <w:szCs w:val="24"/>
        </w:rPr>
        <w:t>各类合同或协议书、补充协议；</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 3 \* GB3 </w:instrText>
      </w:r>
      <w:r>
        <w:rPr>
          <w:rFonts w:hint="eastAsia" w:ascii="仿宋" w:hAnsi="仿宋" w:eastAsia="仿宋" w:cs="仿宋"/>
          <w:kern w:val="0"/>
          <w:sz w:val="24"/>
          <w:szCs w:val="24"/>
        </w:rPr>
        <w:fldChar w:fldCharType="separate"/>
      </w:r>
      <w:r>
        <w:rPr>
          <w:rFonts w:hint="eastAsia" w:ascii="仿宋" w:hAnsi="仿宋" w:eastAsia="仿宋" w:cs="仿宋"/>
          <w:kern w:val="0"/>
          <w:sz w:val="24"/>
          <w:szCs w:val="24"/>
        </w:rPr>
        <w:t>③</w:t>
      </w:r>
      <w:r>
        <w:rPr>
          <w:rFonts w:hint="eastAsia" w:ascii="仿宋" w:hAnsi="仿宋" w:eastAsia="仿宋" w:cs="仿宋"/>
          <w:kern w:val="0"/>
          <w:sz w:val="24"/>
          <w:szCs w:val="24"/>
        </w:rPr>
        <w:fldChar w:fldCharType="end"/>
      </w:r>
      <w:r>
        <w:rPr>
          <w:rFonts w:hint="eastAsia" w:ascii="仿宋" w:hAnsi="仿宋" w:eastAsia="仿宋" w:cs="仿宋"/>
          <w:kern w:val="0"/>
          <w:sz w:val="24"/>
          <w:szCs w:val="24"/>
        </w:rPr>
        <w:t>过程审计记录（汇编）；</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 4 \* GB3 </w:instrText>
      </w:r>
      <w:r>
        <w:rPr>
          <w:rFonts w:hint="eastAsia" w:ascii="仿宋" w:hAnsi="仿宋" w:eastAsia="仿宋" w:cs="仿宋"/>
          <w:kern w:val="0"/>
          <w:sz w:val="24"/>
          <w:szCs w:val="24"/>
        </w:rPr>
        <w:fldChar w:fldCharType="separate"/>
      </w:r>
      <w:r>
        <w:rPr>
          <w:rFonts w:hint="eastAsia" w:ascii="仿宋" w:hAnsi="仿宋" w:eastAsia="仿宋" w:cs="仿宋"/>
          <w:kern w:val="0"/>
          <w:sz w:val="24"/>
          <w:szCs w:val="24"/>
        </w:rPr>
        <w:t>④</w:t>
      </w:r>
      <w:r>
        <w:rPr>
          <w:rFonts w:hint="eastAsia" w:ascii="仿宋" w:hAnsi="仿宋" w:eastAsia="仿宋" w:cs="仿宋"/>
          <w:kern w:val="0"/>
          <w:sz w:val="24"/>
          <w:szCs w:val="24"/>
        </w:rPr>
        <w:fldChar w:fldCharType="end"/>
      </w:r>
      <w:r>
        <w:rPr>
          <w:rFonts w:hint="eastAsia" w:ascii="仿宋" w:hAnsi="仿宋" w:eastAsia="仿宋" w:cs="仿宋"/>
          <w:kern w:val="0"/>
          <w:sz w:val="24"/>
          <w:szCs w:val="24"/>
        </w:rPr>
        <w:t>过程审计阶段审计报告；</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 5 \* GB3 </w:instrText>
      </w:r>
      <w:r>
        <w:rPr>
          <w:rFonts w:hint="eastAsia" w:ascii="仿宋" w:hAnsi="仿宋" w:eastAsia="仿宋" w:cs="仿宋"/>
          <w:kern w:val="0"/>
          <w:sz w:val="24"/>
          <w:szCs w:val="24"/>
        </w:rPr>
        <w:fldChar w:fldCharType="separate"/>
      </w:r>
      <w:r>
        <w:rPr>
          <w:rFonts w:hint="eastAsia" w:ascii="仿宋" w:hAnsi="仿宋" w:eastAsia="仿宋" w:cs="仿宋"/>
          <w:kern w:val="0"/>
          <w:sz w:val="24"/>
          <w:szCs w:val="24"/>
        </w:rPr>
        <w:t>⑤</w:t>
      </w:r>
      <w:r>
        <w:rPr>
          <w:rFonts w:hint="eastAsia" w:ascii="仿宋" w:hAnsi="仿宋" w:eastAsia="仿宋" w:cs="仿宋"/>
          <w:kern w:val="0"/>
          <w:sz w:val="24"/>
          <w:szCs w:val="24"/>
        </w:rPr>
        <w:fldChar w:fldCharType="end"/>
      </w:r>
      <w:r>
        <w:rPr>
          <w:rFonts w:hint="eastAsia" w:ascii="仿宋" w:hAnsi="仿宋" w:eastAsia="仿宋" w:cs="仿宋"/>
          <w:kern w:val="0"/>
          <w:sz w:val="24"/>
          <w:szCs w:val="24"/>
        </w:rPr>
        <w:t>合同项目的造价结算审计报告书（附相关结算资料及支持文件）；</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 6 \* GB3 </w:instrText>
      </w:r>
      <w:r>
        <w:rPr>
          <w:rFonts w:hint="eastAsia" w:ascii="仿宋" w:hAnsi="仿宋" w:eastAsia="仿宋" w:cs="仿宋"/>
          <w:kern w:val="0"/>
          <w:sz w:val="24"/>
          <w:szCs w:val="24"/>
        </w:rPr>
        <w:fldChar w:fldCharType="separate"/>
      </w:r>
      <w:r>
        <w:rPr>
          <w:rFonts w:hint="eastAsia" w:ascii="仿宋" w:hAnsi="仿宋" w:eastAsia="仿宋" w:cs="仿宋"/>
          <w:kern w:val="0"/>
          <w:sz w:val="24"/>
          <w:szCs w:val="24"/>
        </w:rPr>
        <w:t>⑥</w:t>
      </w:r>
      <w:r>
        <w:rPr>
          <w:rFonts w:hint="eastAsia" w:ascii="仿宋" w:hAnsi="仿宋" w:eastAsia="仿宋" w:cs="仿宋"/>
          <w:kern w:val="0"/>
          <w:sz w:val="24"/>
          <w:szCs w:val="24"/>
        </w:rPr>
        <w:fldChar w:fldCharType="end"/>
      </w:r>
      <w:r>
        <w:rPr>
          <w:rFonts w:hint="eastAsia" w:ascii="仿宋" w:hAnsi="仿宋" w:eastAsia="仿宋" w:cs="仿宋"/>
          <w:kern w:val="0"/>
          <w:sz w:val="24"/>
          <w:szCs w:val="24"/>
        </w:rPr>
        <w:t>整个项目的竣工结算审计报告书（附相关资料）；</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 7 \* GB3 </w:instrText>
      </w:r>
      <w:r>
        <w:rPr>
          <w:rFonts w:hint="eastAsia" w:ascii="仿宋" w:hAnsi="仿宋" w:eastAsia="仿宋" w:cs="仿宋"/>
          <w:kern w:val="0"/>
          <w:sz w:val="24"/>
          <w:szCs w:val="24"/>
        </w:rPr>
        <w:fldChar w:fldCharType="separate"/>
      </w:r>
      <w:r>
        <w:rPr>
          <w:rFonts w:hint="eastAsia" w:ascii="仿宋" w:hAnsi="仿宋" w:eastAsia="仿宋" w:cs="仿宋"/>
          <w:kern w:val="0"/>
          <w:sz w:val="24"/>
          <w:szCs w:val="24"/>
        </w:rPr>
        <w:t>⑦</w:t>
      </w:r>
      <w:r>
        <w:rPr>
          <w:rFonts w:hint="eastAsia" w:ascii="仿宋" w:hAnsi="仿宋" w:eastAsia="仿宋" w:cs="仿宋"/>
          <w:kern w:val="0"/>
          <w:sz w:val="24"/>
          <w:szCs w:val="24"/>
        </w:rPr>
        <w:fldChar w:fldCharType="end"/>
      </w:r>
      <w:r>
        <w:rPr>
          <w:rFonts w:hint="eastAsia" w:ascii="仿宋" w:hAnsi="仿宋" w:eastAsia="仿宋" w:cs="仿宋"/>
          <w:kern w:val="0"/>
          <w:sz w:val="24"/>
          <w:szCs w:val="24"/>
        </w:rPr>
        <w:t>招标、投标审计有关资料；</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 8 \* GB3 </w:instrText>
      </w:r>
      <w:r>
        <w:rPr>
          <w:rFonts w:hint="eastAsia" w:ascii="仿宋" w:hAnsi="仿宋" w:eastAsia="仿宋" w:cs="仿宋"/>
          <w:kern w:val="0"/>
          <w:sz w:val="24"/>
          <w:szCs w:val="24"/>
        </w:rPr>
        <w:fldChar w:fldCharType="separate"/>
      </w:r>
      <w:r>
        <w:rPr>
          <w:rFonts w:hint="eastAsia" w:ascii="仿宋" w:hAnsi="仿宋" w:eastAsia="仿宋" w:cs="仿宋"/>
          <w:kern w:val="0"/>
          <w:sz w:val="24"/>
          <w:szCs w:val="24"/>
        </w:rPr>
        <w:t>⑧</w:t>
      </w:r>
      <w:r>
        <w:rPr>
          <w:rFonts w:hint="eastAsia" w:ascii="仿宋" w:hAnsi="仿宋" w:eastAsia="仿宋" w:cs="仿宋"/>
          <w:kern w:val="0"/>
          <w:sz w:val="24"/>
          <w:szCs w:val="24"/>
        </w:rPr>
        <w:fldChar w:fldCharType="end"/>
      </w:r>
      <w:r>
        <w:rPr>
          <w:rFonts w:hint="eastAsia" w:ascii="仿宋" w:hAnsi="仿宋" w:eastAsia="仿宋" w:cs="仿宋"/>
          <w:kern w:val="0"/>
          <w:sz w:val="24"/>
          <w:szCs w:val="24"/>
        </w:rPr>
        <w:t>工程结算、财务决算审计报告书；</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 9 \* GB3 </w:instrText>
      </w:r>
      <w:r>
        <w:rPr>
          <w:rFonts w:hint="eastAsia" w:ascii="仿宋" w:hAnsi="仿宋" w:eastAsia="仿宋" w:cs="仿宋"/>
          <w:kern w:val="0"/>
          <w:sz w:val="24"/>
          <w:szCs w:val="24"/>
        </w:rPr>
        <w:fldChar w:fldCharType="separate"/>
      </w:r>
      <w:r>
        <w:rPr>
          <w:rFonts w:hint="eastAsia" w:ascii="仿宋" w:hAnsi="仿宋" w:eastAsia="仿宋" w:cs="仿宋"/>
          <w:kern w:val="0"/>
          <w:sz w:val="24"/>
          <w:szCs w:val="24"/>
        </w:rPr>
        <w:t>⑨</w:t>
      </w:r>
      <w:r>
        <w:rPr>
          <w:rFonts w:hint="eastAsia" w:ascii="仿宋" w:hAnsi="仿宋" w:eastAsia="仿宋" w:cs="仿宋"/>
          <w:kern w:val="0"/>
          <w:sz w:val="24"/>
          <w:szCs w:val="24"/>
        </w:rPr>
        <w:fldChar w:fldCharType="end"/>
      </w:r>
      <w:r>
        <w:rPr>
          <w:rFonts w:hint="eastAsia" w:ascii="仿宋" w:hAnsi="仿宋" w:eastAsia="仿宋" w:cs="仿宋"/>
          <w:kern w:val="0"/>
          <w:sz w:val="24"/>
          <w:szCs w:val="24"/>
        </w:rPr>
        <w:t>项目业主提供资料明细单；</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 10 \* GB3 </w:instrText>
      </w:r>
      <w:r>
        <w:rPr>
          <w:rFonts w:hint="eastAsia" w:ascii="仿宋" w:hAnsi="仿宋" w:eastAsia="仿宋" w:cs="仿宋"/>
          <w:kern w:val="0"/>
          <w:sz w:val="24"/>
          <w:szCs w:val="24"/>
        </w:rPr>
        <w:fldChar w:fldCharType="separate"/>
      </w:r>
      <w:r>
        <w:rPr>
          <w:rFonts w:hint="eastAsia" w:ascii="仿宋" w:hAnsi="仿宋" w:eastAsia="仿宋" w:cs="仿宋"/>
          <w:kern w:val="0"/>
          <w:sz w:val="24"/>
          <w:szCs w:val="24"/>
        </w:rPr>
        <w:t>⑩</w:t>
      </w:r>
      <w:r>
        <w:rPr>
          <w:rFonts w:hint="eastAsia" w:ascii="仿宋" w:hAnsi="仿宋" w:eastAsia="仿宋" w:cs="仿宋"/>
          <w:kern w:val="0"/>
          <w:sz w:val="24"/>
          <w:szCs w:val="24"/>
        </w:rPr>
        <w:fldChar w:fldCharType="end"/>
      </w:r>
      <w:r>
        <w:rPr>
          <w:rFonts w:hint="eastAsia" w:ascii="仿宋" w:hAnsi="仿宋" w:eastAsia="仿宋" w:cs="仿宋"/>
          <w:kern w:val="0"/>
          <w:sz w:val="24"/>
          <w:szCs w:val="24"/>
        </w:rPr>
        <w:t>成果签收记录单。</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2）对该项目的项目概况、投资实施过程、基建投入、施工、资金使用、监控、投资实施效果、存在的主要问题、项目建设的主要经验教训及结论、 对策和建议等方面进行分析评价，并出具过程审计总结报告。</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p>
    <w:p>
      <w:pPr>
        <w:keepNext w:val="0"/>
        <w:keepLines w:val="0"/>
        <w:pageBreakBefore w:val="0"/>
        <w:kinsoku/>
        <w:wordWrap/>
        <w:overflowPunct/>
        <w:topLinePunct w:val="0"/>
        <w:autoSpaceDE/>
        <w:autoSpaceDN/>
        <w:bidi w:val="0"/>
        <w:spacing w:line="360" w:lineRule="auto"/>
        <w:ind w:left="0" w:leftChars="0"/>
        <w:jc w:val="both"/>
        <w:outlineLvl w:val="0"/>
        <w:rPr>
          <w:rFonts w:hint="eastAsia" w:ascii="仿宋" w:hAnsi="仿宋" w:eastAsia="仿宋" w:cs="仿宋"/>
          <w:b/>
          <w:bCs/>
          <w:sz w:val="32"/>
          <w:szCs w:val="32"/>
        </w:rPr>
      </w:pPr>
      <w:r>
        <w:rPr>
          <w:rFonts w:hint="eastAsia" w:ascii="仿宋" w:hAnsi="仿宋" w:eastAsia="仿宋" w:cs="仿宋"/>
          <w:b/>
          <w:bCs/>
          <w:sz w:val="32"/>
          <w:szCs w:val="32"/>
        </w:rPr>
        <w:t>三、咨询服务的运作过程</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咨询公司在本项目实施过程中，前期审计方案，并出具正式文本报告；并根据初步设计图纸审核单位工程的招投标工作。我公司以项目审计方案为先导，围绕质量、工期和投资目标，发挥咨询公司的优势，为项目的顺利建设提供优质的咨询服务。</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2" w:firstLineChars="200"/>
        <w:outlineLvl w:val="1"/>
        <w:rPr>
          <w:rFonts w:hint="eastAsia" w:ascii="仿宋" w:hAnsi="仿宋" w:eastAsia="仿宋" w:cs="仿宋"/>
          <w:b/>
          <w:bCs/>
          <w:kern w:val="0"/>
          <w:sz w:val="24"/>
          <w:szCs w:val="24"/>
        </w:rPr>
      </w:pPr>
      <w:r>
        <w:rPr>
          <w:rFonts w:hint="eastAsia" w:ascii="仿宋" w:hAnsi="仿宋" w:eastAsia="仿宋" w:cs="仿宋"/>
          <w:b/>
          <w:bCs/>
          <w:kern w:val="0"/>
          <w:sz w:val="24"/>
          <w:szCs w:val="24"/>
        </w:rPr>
        <w:t>1.招标管理阶段</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本项目严格按照国家规定的建设程序和股份公司的相关要求，本着“公平、公开、 公正、诚信”的原则，按招标程序择优选择参建各方。招标分施工工程招标、专业招标、设备招标。</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给业主在施工单位招标时，提供了风险控制范围及项目的难度特点，对比了前几期施工单位施工过程中质量、进度、投资控制的特点和存在的问题，在招标文件中明确了相关的要求，为业主招标时选择施工单位提供了有利的技术支持。</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配合业主编制施工总承包合同，特别是在工程质量、施工进度、安全控制等方面达不到要求的违约责任，确保了业主的相关权利得到保障。</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2" w:firstLineChars="200"/>
        <w:outlineLvl w:val="1"/>
        <w:rPr>
          <w:rFonts w:hint="eastAsia" w:ascii="仿宋" w:hAnsi="仿宋" w:eastAsia="仿宋" w:cs="仿宋"/>
          <w:b/>
          <w:bCs/>
          <w:kern w:val="0"/>
          <w:sz w:val="24"/>
          <w:szCs w:val="24"/>
        </w:rPr>
      </w:pPr>
      <w:r>
        <w:rPr>
          <w:rFonts w:hint="eastAsia" w:ascii="仿宋" w:hAnsi="仿宋" w:eastAsia="仿宋" w:cs="仿宋"/>
          <w:b/>
          <w:bCs/>
          <w:kern w:val="0"/>
          <w:sz w:val="24"/>
          <w:szCs w:val="24"/>
        </w:rPr>
        <w:t>2.施工管理阶段</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工程实施阶段是整个项目建设过程中时间跨度最长、变化最多的阶段，对建设项目全过程造价管理来说也是最难控制的阶段。在施工过程中，不能任意增加设计内容和提高设计标准，如必须变更，要履行严格的审批程序。</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加强对施工组织设计方案诉审批，施工组织设计是指导施工的纲领性文件，是保证工程顺利进行，确保工程质量、有效控制工程造价的重要工具。为控制工程造价，对各种施工方案进行技术上、经济上的对比分析，从中选出最合理利用人力、物力、财力资源的方案，从而降低工程造价。在施工中，</w:t>
      </w:r>
      <w:r>
        <w:rPr>
          <w:rFonts w:hint="eastAsia" w:ascii="仿宋" w:hAnsi="仿宋" w:eastAsia="仿宋" w:cs="仿宋"/>
          <w:kern w:val="0"/>
          <w:sz w:val="24"/>
          <w:szCs w:val="24"/>
          <w:lang w:val="en-US" w:eastAsia="zh-CN"/>
        </w:rPr>
        <w:t>重点</w:t>
      </w:r>
      <w:r>
        <w:rPr>
          <w:rFonts w:hint="eastAsia" w:ascii="仿宋" w:hAnsi="仿宋" w:eastAsia="仿宋" w:cs="仿宋"/>
          <w:kern w:val="0"/>
          <w:sz w:val="24"/>
          <w:szCs w:val="24"/>
        </w:rPr>
        <w:t>对工程造价有影响的工作</w:t>
      </w:r>
      <w:r>
        <w:rPr>
          <w:rFonts w:hint="eastAsia" w:ascii="仿宋" w:hAnsi="仿宋" w:eastAsia="仿宋" w:cs="仿宋"/>
          <w:kern w:val="0"/>
          <w:sz w:val="24"/>
          <w:szCs w:val="24"/>
          <w:lang w:val="en-US" w:eastAsia="zh-CN"/>
        </w:rPr>
        <w:t>进行审计</w:t>
      </w:r>
      <w:r>
        <w:rPr>
          <w:rFonts w:hint="eastAsia" w:ascii="仿宋" w:hAnsi="仿宋" w:eastAsia="仿宋" w:cs="仿宋"/>
          <w:kern w:val="0"/>
          <w:sz w:val="24"/>
          <w:szCs w:val="24"/>
        </w:rPr>
        <w:t>：</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工程变更。工程变更应履行相应的审批流程，工程变更引起的所有费用增加应合理、合法、有据。</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工程量清单缺项。应详细查询招标文件、施工图纸、工程量清单及投标书，是否有的项目已经包括其他项目中；清单缺项单价应按计价规范和标准的规定的原则，结合合同约定的组价原则进行组价。</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现场签证。现场签证应按相应程序办理相关手续，做到各种资料齐全，审核程序资料完整、有效。</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物价变化。因材料价格原因，调整合同价款，应以政府公布的相应价格数数作为依据，同时按合同指定范围和幅度内调整。</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暂估价。材料暂估价应按合同约定的程序及时进行价格确认，相关资料应齐全完整。</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工程索赔。索赔本着实事求是的原则进行，及时办理索赔确认手续。</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材料询价。因标准提高，新材料、新工艺的应用，对材料询价需求较大。通过网站咨询平台、电话询价、市场考察等方式进行集中询价。</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2" w:firstLineChars="200"/>
        <w:outlineLvl w:val="1"/>
        <w:rPr>
          <w:rFonts w:hint="eastAsia" w:ascii="仿宋" w:hAnsi="仿宋" w:eastAsia="仿宋" w:cs="仿宋"/>
          <w:kern w:val="0"/>
          <w:sz w:val="24"/>
          <w:szCs w:val="24"/>
        </w:rPr>
      </w:pPr>
      <w:r>
        <w:rPr>
          <w:rFonts w:hint="eastAsia" w:ascii="仿宋" w:hAnsi="仿宋" w:eastAsia="仿宋" w:cs="仿宋"/>
          <w:b/>
          <w:bCs/>
          <w:kern w:val="0"/>
          <w:sz w:val="24"/>
          <w:szCs w:val="24"/>
        </w:rPr>
        <w:t>3.工程结算阶段和决算阶段</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361" w:firstLineChars="150"/>
        <w:rPr>
          <w:rFonts w:hint="eastAsia" w:ascii="仿宋" w:hAnsi="仿宋" w:eastAsia="仿宋" w:cs="仿宋"/>
          <w:b/>
          <w:kern w:val="0"/>
          <w:sz w:val="24"/>
          <w:szCs w:val="24"/>
        </w:rPr>
      </w:pPr>
      <w:r>
        <w:rPr>
          <w:rFonts w:hint="eastAsia" w:ascii="仿宋" w:hAnsi="仿宋" w:eastAsia="仿宋" w:cs="仿宋"/>
          <w:b/>
          <w:kern w:val="0"/>
          <w:sz w:val="24"/>
          <w:szCs w:val="24"/>
        </w:rPr>
        <w:t>（1）工程竣工的资料要求</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工程竣工结算资料</w:t>
      </w:r>
      <w:r>
        <w:rPr>
          <w:rFonts w:hint="eastAsia" w:ascii="仿宋" w:hAnsi="仿宋" w:eastAsia="仿宋" w:cs="仿宋"/>
          <w:kern w:val="0"/>
          <w:sz w:val="24"/>
          <w:szCs w:val="24"/>
          <w:lang w:val="en-US" w:eastAsia="zh-CN"/>
        </w:rPr>
        <w:t>包含</w:t>
      </w:r>
      <w:r>
        <w:rPr>
          <w:rFonts w:hint="eastAsia" w:ascii="仿宋" w:hAnsi="仿宋" w:eastAsia="仿宋" w:cs="仿宋"/>
          <w:kern w:val="0"/>
          <w:sz w:val="24"/>
          <w:szCs w:val="24"/>
        </w:rPr>
        <w:t>工程结算书、工程竣工图、施工合同、招投标文件在内的能够说明工程竣工结算价款的真实性、合规性、完整性、准确性的全部工程造价资料。</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lang w:eastAsia="zh-CN"/>
        </w:rPr>
      </w:pPr>
      <w:r>
        <w:rPr>
          <w:rFonts w:hint="eastAsia" w:ascii="仿宋" w:hAnsi="仿宋" w:eastAsia="仿宋" w:cs="仿宋"/>
          <w:kern w:val="0"/>
          <w:sz w:val="24"/>
          <w:szCs w:val="24"/>
        </w:rPr>
        <w:t>结算资料具体要求</w:t>
      </w:r>
      <w:r>
        <w:rPr>
          <w:rFonts w:hint="eastAsia" w:ascii="仿宋" w:hAnsi="仿宋" w:eastAsia="仿宋" w:cs="仿宋"/>
          <w:kern w:val="0"/>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1.工程结算书；工程量计算按竣工图+变更方式；单价按合同内单价+参考合同价+变更新组价方式；材料调差按月度</w:t>
      </w:r>
      <w:r>
        <w:rPr>
          <w:rFonts w:hint="eastAsia" w:ascii="仿宋" w:hAnsi="仿宋" w:eastAsia="仿宋" w:cs="仿宋"/>
          <w:kern w:val="0"/>
          <w:sz w:val="24"/>
          <w:szCs w:val="24"/>
          <w:lang w:val="en-US" w:eastAsia="zh-CN"/>
        </w:rPr>
        <w:t>业主</w:t>
      </w:r>
      <w:r>
        <w:rPr>
          <w:rFonts w:hint="eastAsia" w:ascii="仿宋" w:hAnsi="仿宋" w:eastAsia="仿宋" w:cs="仿宋"/>
          <w:kern w:val="0"/>
          <w:sz w:val="24"/>
          <w:szCs w:val="24"/>
        </w:rPr>
        <w:t>批复意见办理（新增项目应包含综合单价分析表，提供原件纸版、原件PDF版、斯维尔造价软件版或电力造价软件版）；</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2.工程量计算书（原件纸版、EXCEL版、PDF版，土建专我司要构件，如基础，楼梯，梁板柱砼构件需提供广联达算量软件版）；</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3.工程竣工图</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应有总监签字确认</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业主</w:t>
      </w:r>
      <w:r>
        <w:rPr>
          <w:rFonts w:hint="eastAsia" w:ascii="仿宋" w:hAnsi="仿宋" w:eastAsia="仿宋" w:cs="仿宋"/>
          <w:kern w:val="0"/>
          <w:sz w:val="24"/>
          <w:szCs w:val="24"/>
        </w:rPr>
        <w:t>工程师需要对该套竣工图另附简要说明；</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4.工程竣工验收（交接）证书，工程竣工验收报告；</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5.施工合同及补充协议，合同谈判纪要；</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6.招标文件（包括答疑及澄清资料）、中标人的投标文件（广联达计价软件版）；</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7甲供设备及材料领用记录（按单位工程划分，EXCEL版，PDF版）；</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8.乙供材料或设备价格认定单；</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9.设计变更单、现场签证单（所有签证单所有签证单号必须连续、不断号，需要办理派工单或工程联系单）、清单漏项、项目特征不符等需变更造价的资料；工程洽商纪要、工程索赔资料（需项目部批准，三方共同认可；</w:t>
      </w:r>
      <w:bookmarkStart w:id="0" w:name="_Hlk521396147"/>
      <w:r>
        <w:rPr>
          <w:rFonts w:hint="eastAsia" w:ascii="仿宋" w:hAnsi="仿宋" w:eastAsia="仿宋" w:cs="仿宋"/>
          <w:kern w:val="0"/>
          <w:sz w:val="24"/>
          <w:szCs w:val="24"/>
        </w:rPr>
        <w:t>纸版、PDF版</w:t>
      </w:r>
      <w:bookmarkEnd w:id="0"/>
      <w:r>
        <w:rPr>
          <w:rFonts w:hint="eastAsia" w:ascii="仿宋" w:hAnsi="仿宋" w:eastAsia="仿宋" w:cs="仿宋"/>
          <w:kern w:val="0"/>
          <w:sz w:val="24"/>
          <w:szCs w:val="24"/>
        </w:rPr>
        <w:t>）；</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10.经</w:t>
      </w:r>
      <w:r>
        <w:rPr>
          <w:rFonts w:hint="eastAsia" w:ascii="仿宋" w:hAnsi="仿宋" w:eastAsia="仿宋" w:cs="仿宋"/>
          <w:kern w:val="0"/>
          <w:sz w:val="24"/>
          <w:szCs w:val="24"/>
          <w:lang w:val="en-US" w:eastAsia="zh-CN"/>
        </w:rPr>
        <w:t>业主</w:t>
      </w:r>
      <w:r>
        <w:rPr>
          <w:rFonts w:hint="eastAsia" w:ascii="仿宋" w:hAnsi="仿宋" w:eastAsia="仿宋" w:cs="仿宋"/>
          <w:kern w:val="0"/>
          <w:sz w:val="24"/>
          <w:szCs w:val="24"/>
        </w:rPr>
        <w:t>和监理批准的施工组织设计；经专家论证的危险或重大工程施工方案；</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11.工程竣工结算授权委托书；</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12.承包人结算资料报送承诺书（主要承诺不再增加结算内容）；</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13.工程开竣工报告；</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14.有造价信息的主要材料材差按照合同约定每个月度调整资料及批复资料；</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15.施工日记，施工记录、隐蔽工程验收记录，重要节点图片资料（根据审计需要）；</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16.与工程造价有关的会议纪要（纸版、PDF版）；</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17.其他与工程造价有关的资料（根据审计需要提供，纸版、PDF版）；</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18.部分施工技术档案资料（检测记录及检测单、隐蔽工程验收等，根据审计需要提供）。</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业主单位</w:t>
      </w:r>
      <w:r>
        <w:rPr>
          <w:rFonts w:hint="eastAsia" w:ascii="仿宋" w:hAnsi="仿宋" w:eastAsia="仿宋" w:cs="仿宋"/>
          <w:kern w:val="0"/>
          <w:sz w:val="24"/>
          <w:szCs w:val="24"/>
        </w:rPr>
        <w:t>工程项目部提供的资料（按每次结算内容提供原件及原件扫描件）：</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1.验收问题清单（竣工验收过程中，发现的问题列出清单，是否是责任单位处理还是委托其他单位处理，需说明验收问题处理情况，发生费用的，其费用分担需加以说明）；</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2.联合试运转问题清单（联合试运转过程中发现的质量问题，属于施工单位质量问题的，应由施工单位处理；属于设备厂家问题，应由厂家处理；属于设计问题由项目部承担）发生费用的，需要说明原因；</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3.设计变更，现场签证，工程索赔反索赔，工程洽商记录等原件及其批准件；</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4.投标文件中清单漏项、项目特征不符、工程量错误等造价变化的批准文件的原件；</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5.施工过程中，承包人在安全，健康，环保方面违约金发生及扣除情况说明；</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6.施工过程中，承包人在工程进度，质量方面违约金发生及扣除情况说明；</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7.图纸会审记录，设计交底记录；</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8.未施工部分的工程内容说明；施工界面划分说明；</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9.</w:t>
      </w:r>
      <w:r>
        <w:rPr>
          <w:rFonts w:hint="eastAsia" w:ascii="仿宋" w:hAnsi="仿宋" w:eastAsia="仿宋" w:cs="仿宋"/>
          <w:kern w:val="0"/>
          <w:sz w:val="24"/>
          <w:szCs w:val="24"/>
        </w:rPr>
        <w:t>施工图审查意见；</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lang w:eastAsia="zh-CN"/>
        </w:rPr>
      </w:pPr>
      <w:r>
        <w:rPr>
          <w:rFonts w:hint="eastAsia" w:ascii="仿宋" w:hAnsi="仿宋" w:eastAsia="仿宋" w:cs="仿宋"/>
          <w:kern w:val="0"/>
          <w:sz w:val="24"/>
          <w:szCs w:val="24"/>
        </w:rPr>
        <w:t>1</w:t>
      </w:r>
      <w:r>
        <w:rPr>
          <w:rFonts w:hint="eastAsia" w:ascii="仿宋" w:hAnsi="仿宋" w:eastAsia="仿宋" w:cs="仿宋"/>
          <w:kern w:val="0"/>
          <w:sz w:val="24"/>
          <w:szCs w:val="24"/>
          <w:lang w:val="en-US" w:eastAsia="zh-CN"/>
        </w:rPr>
        <w:t>0</w:t>
      </w:r>
      <w:r>
        <w:rPr>
          <w:rFonts w:hint="eastAsia" w:ascii="仿宋" w:hAnsi="仿宋" w:eastAsia="仿宋" w:cs="仿宋"/>
          <w:kern w:val="0"/>
          <w:sz w:val="24"/>
          <w:szCs w:val="24"/>
        </w:rPr>
        <w:t>.安装工程（附属于设备）资产移交清单</w:t>
      </w:r>
      <w:r>
        <w:rPr>
          <w:rFonts w:hint="eastAsia" w:ascii="仿宋" w:hAnsi="仿宋" w:eastAsia="仿宋" w:cs="仿宋"/>
          <w:kern w:val="0"/>
          <w:sz w:val="24"/>
          <w:szCs w:val="24"/>
          <w:lang w:eastAsia="zh-CN"/>
        </w:rPr>
        <w:t>。</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354" w:firstLineChars="147"/>
        <w:rPr>
          <w:rFonts w:hint="eastAsia" w:ascii="仿宋" w:hAnsi="仿宋" w:eastAsia="仿宋" w:cs="仿宋"/>
          <w:b/>
          <w:kern w:val="0"/>
          <w:sz w:val="24"/>
          <w:szCs w:val="24"/>
        </w:rPr>
      </w:pPr>
      <w:r>
        <w:rPr>
          <w:rFonts w:hint="eastAsia" w:ascii="仿宋" w:hAnsi="仿宋" w:eastAsia="仿宋" w:cs="仿宋"/>
          <w:b/>
          <w:kern w:val="0"/>
          <w:sz w:val="24"/>
          <w:szCs w:val="24"/>
        </w:rPr>
        <w:t>（2）竣工结算的审核</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1）工程结算资料的审查</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审查工程结算资料的完整性；</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审查计价依据及资料与工程结算的相关性、有效性；</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审查工程结算的范围、内容与合同约定的范围、内容一致性；</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审查工程量计算的准确性；</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审查综合单价是否执行合同约定或现行的计价原则、方法；</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审查变更签证的真实性、有效性；</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审查索赔是否依据合同约定的索赔处理原则、程序和计算方法， 审查索赔的真实性、合法性、准确性。</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2）工程结算的审定</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工程结算审查初稿编制完成后，应召开由结算编制人、委托人（甲方单位）、结算审查人共同参加的会议，听取意见，并进行合理调整；</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由审查人的该项目负责人对工程结算审查的初步成果文件进行校对；</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由工程结算审查人的总审负责人审核批准；</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建设单位、施工单位应分别在工程审定单签字并加盖公章；</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由工程结算审查人编制工程结算审核报告，并加盖从业资格印章和公司公章。</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3）工程竣工决算。竣工结算完成后，各相关单位移交工程技术资料，分类建档保存，移交项目工程实体，收集、整理有关项目竣工决算资料，编制项目竣工决算报告。 工程竣工决算审计的要点如下:</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 1 \* GB3 </w:instrText>
      </w:r>
      <w:r>
        <w:rPr>
          <w:rFonts w:hint="eastAsia" w:ascii="仿宋" w:hAnsi="仿宋" w:eastAsia="仿宋" w:cs="仿宋"/>
          <w:kern w:val="0"/>
          <w:sz w:val="24"/>
          <w:szCs w:val="24"/>
        </w:rPr>
        <w:fldChar w:fldCharType="separate"/>
      </w:r>
      <w:r>
        <w:rPr>
          <w:rFonts w:hint="eastAsia" w:ascii="仿宋" w:hAnsi="仿宋" w:eastAsia="仿宋" w:cs="仿宋"/>
          <w:kern w:val="0"/>
          <w:sz w:val="24"/>
          <w:szCs w:val="24"/>
        </w:rPr>
        <w:t>①</w:t>
      </w:r>
      <w:r>
        <w:rPr>
          <w:rFonts w:hint="eastAsia" w:ascii="仿宋" w:hAnsi="仿宋" w:eastAsia="仿宋" w:cs="仿宋"/>
          <w:kern w:val="0"/>
          <w:sz w:val="24"/>
          <w:szCs w:val="24"/>
        </w:rPr>
        <w:fldChar w:fldCharType="end"/>
      </w:r>
      <w:r>
        <w:rPr>
          <w:rFonts w:hint="eastAsia" w:ascii="仿宋" w:hAnsi="仿宋" w:eastAsia="仿宋" w:cs="仿宋"/>
          <w:kern w:val="0"/>
          <w:sz w:val="24"/>
          <w:szCs w:val="24"/>
        </w:rPr>
        <w:t>审查项目竣工决算报告的编制情况。审计人员应重点了解决算编制工作的责任单位，其编制依据是否符合国家有关规定，资料是否齐全，手续是否完备，对项目遗留问题的处理是否合规。重点关注实际投资核算，包括建安工程投资、设备投资、待摊投资核算的真实和准确，待摊投资支出的合法、合规性以及分摊方法的合理性，特别是建设单位管理费、勘察设计费、土地征用费等前期费用的核算、分摊是否合法、合规。</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 2 \* GB3 </w:instrText>
      </w:r>
      <w:r>
        <w:rPr>
          <w:rFonts w:hint="eastAsia" w:ascii="仿宋" w:hAnsi="仿宋" w:eastAsia="仿宋" w:cs="仿宋"/>
          <w:kern w:val="0"/>
          <w:sz w:val="24"/>
          <w:szCs w:val="24"/>
        </w:rPr>
        <w:fldChar w:fldCharType="separate"/>
      </w:r>
      <w:r>
        <w:rPr>
          <w:rFonts w:hint="eastAsia" w:ascii="仿宋" w:hAnsi="仿宋" w:eastAsia="仿宋" w:cs="仿宋"/>
          <w:kern w:val="0"/>
          <w:sz w:val="24"/>
          <w:szCs w:val="24"/>
        </w:rPr>
        <w:t>②</w:t>
      </w:r>
      <w:r>
        <w:rPr>
          <w:rFonts w:hint="eastAsia" w:ascii="仿宋" w:hAnsi="仿宋" w:eastAsia="仿宋" w:cs="仿宋"/>
          <w:kern w:val="0"/>
          <w:sz w:val="24"/>
          <w:szCs w:val="24"/>
        </w:rPr>
        <w:fldChar w:fldCharType="end"/>
      </w:r>
      <w:r>
        <w:rPr>
          <w:rFonts w:hint="eastAsia" w:ascii="仿宋" w:hAnsi="仿宋" w:eastAsia="仿宋" w:cs="仿宋"/>
          <w:kern w:val="0"/>
          <w:sz w:val="24"/>
          <w:szCs w:val="24"/>
        </w:rPr>
        <w:t>审查项目建设及概算执行情况，重点关注项目建设是否按照批准的初步设计概算进行。在取得项目的竣工决算表后，整理汇总一个概算与实际投资的对比明细表，将其中实际投资与概算投资出入较大的单项工程作为审查的重点，在此基础上逐项分析超概算或节约的具体内容与原因，比如是否存在概算外项目和扩大工程规模、提高建设标准的情况，有无重大工程质量事故和经济损失或投资浪费等情况。</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 3 \* GB3 </w:instrText>
      </w:r>
      <w:r>
        <w:rPr>
          <w:rFonts w:hint="eastAsia" w:ascii="仿宋" w:hAnsi="仿宋" w:eastAsia="仿宋" w:cs="仿宋"/>
          <w:kern w:val="0"/>
          <w:sz w:val="24"/>
          <w:szCs w:val="24"/>
        </w:rPr>
        <w:fldChar w:fldCharType="separate"/>
      </w:r>
      <w:r>
        <w:rPr>
          <w:rFonts w:hint="eastAsia" w:ascii="仿宋" w:hAnsi="仿宋" w:eastAsia="仿宋" w:cs="仿宋"/>
          <w:kern w:val="0"/>
          <w:sz w:val="24"/>
          <w:szCs w:val="24"/>
        </w:rPr>
        <w:t>③</w:t>
      </w:r>
      <w:r>
        <w:rPr>
          <w:rFonts w:hint="eastAsia" w:ascii="仿宋" w:hAnsi="仿宋" w:eastAsia="仿宋" w:cs="仿宋"/>
          <w:kern w:val="0"/>
          <w:sz w:val="24"/>
          <w:szCs w:val="24"/>
        </w:rPr>
        <w:fldChar w:fldCharType="end"/>
      </w:r>
      <w:r>
        <w:rPr>
          <w:rFonts w:hint="eastAsia" w:ascii="仿宋" w:hAnsi="仿宋" w:eastAsia="仿宋" w:cs="仿宋"/>
          <w:kern w:val="0"/>
          <w:sz w:val="24"/>
          <w:szCs w:val="24"/>
        </w:rPr>
        <w:t>审查建设项目资金来源。根据项目设计概算批复，审核建设资金来源是否与设计概算内容一致，工程建设过程中建设资金到位情况等。</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 4 \* GB3 </w:instrText>
      </w:r>
      <w:r>
        <w:rPr>
          <w:rFonts w:hint="eastAsia" w:ascii="仿宋" w:hAnsi="仿宋" w:eastAsia="仿宋" w:cs="仿宋"/>
          <w:kern w:val="0"/>
          <w:sz w:val="24"/>
          <w:szCs w:val="24"/>
        </w:rPr>
        <w:fldChar w:fldCharType="separate"/>
      </w:r>
      <w:r>
        <w:rPr>
          <w:rFonts w:hint="eastAsia" w:ascii="仿宋" w:hAnsi="仿宋" w:eastAsia="仿宋" w:cs="仿宋"/>
          <w:kern w:val="0"/>
          <w:sz w:val="24"/>
          <w:szCs w:val="24"/>
        </w:rPr>
        <w:t>④</w:t>
      </w:r>
      <w:r>
        <w:rPr>
          <w:rFonts w:hint="eastAsia" w:ascii="仿宋" w:hAnsi="仿宋" w:eastAsia="仿宋" w:cs="仿宋"/>
          <w:kern w:val="0"/>
          <w:sz w:val="24"/>
          <w:szCs w:val="24"/>
        </w:rPr>
        <w:fldChar w:fldCharType="end"/>
      </w:r>
      <w:r>
        <w:rPr>
          <w:rFonts w:hint="eastAsia" w:ascii="仿宋" w:hAnsi="仿宋" w:eastAsia="仿宋" w:cs="仿宋"/>
          <w:kern w:val="0"/>
          <w:sz w:val="24"/>
          <w:szCs w:val="24"/>
        </w:rPr>
        <w:t>审查交付使用财产和在建工程造价真实性，重点关注交付使用财产是否真实、完整，移交手续是否齐全、合规，其中切勿忽略各类备品配件、工器具等的交付移交;同时关注大额无形资产、流动资产、铺底流动资金是否真实、正确。</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 5 \* GB3 </w:instrText>
      </w:r>
      <w:r>
        <w:rPr>
          <w:rFonts w:hint="eastAsia" w:ascii="仿宋" w:hAnsi="仿宋" w:eastAsia="仿宋" w:cs="仿宋"/>
          <w:kern w:val="0"/>
          <w:sz w:val="24"/>
          <w:szCs w:val="24"/>
        </w:rPr>
        <w:fldChar w:fldCharType="separate"/>
      </w:r>
      <w:r>
        <w:rPr>
          <w:rFonts w:hint="eastAsia" w:ascii="仿宋" w:hAnsi="仿宋" w:eastAsia="仿宋" w:cs="仿宋"/>
          <w:kern w:val="0"/>
          <w:sz w:val="24"/>
          <w:szCs w:val="24"/>
        </w:rPr>
        <w:t>⑤</w:t>
      </w:r>
      <w:r>
        <w:rPr>
          <w:rFonts w:hint="eastAsia" w:ascii="仿宋" w:hAnsi="仿宋" w:eastAsia="仿宋" w:cs="仿宋"/>
          <w:kern w:val="0"/>
          <w:sz w:val="24"/>
          <w:szCs w:val="24"/>
        </w:rPr>
        <w:fldChar w:fldCharType="end"/>
      </w:r>
      <w:r>
        <w:rPr>
          <w:rFonts w:hint="eastAsia" w:ascii="仿宋" w:hAnsi="仿宋" w:eastAsia="仿宋" w:cs="仿宋"/>
          <w:kern w:val="0"/>
          <w:sz w:val="24"/>
          <w:szCs w:val="24"/>
        </w:rPr>
        <w:t>审查工程造价真实性和合规性，重点审查成本核算是否完整，关注有无挤占工程成本，提高工程造价，转移建设投资的问题</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实际审计中应注意以下若干问题。</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 6 \* GB3 </w:instrText>
      </w:r>
      <w:r>
        <w:rPr>
          <w:rFonts w:hint="eastAsia" w:ascii="仿宋" w:hAnsi="仿宋" w:eastAsia="仿宋" w:cs="仿宋"/>
          <w:kern w:val="0"/>
          <w:sz w:val="24"/>
          <w:szCs w:val="24"/>
        </w:rPr>
        <w:fldChar w:fldCharType="separate"/>
      </w:r>
      <w:r>
        <w:rPr>
          <w:rFonts w:hint="eastAsia" w:ascii="仿宋" w:hAnsi="仿宋" w:eastAsia="仿宋" w:cs="仿宋"/>
          <w:kern w:val="0"/>
          <w:sz w:val="24"/>
          <w:szCs w:val="24"/>
        </w:rPr>
        <w:t>⑥</w:t>
      </w:r>
      <w:r>
        <w:rPr>
          <w:rFonts w:hint="eastAsia" w:ascii="仿宋" w:hAnsi="仿宋" w:eastAsia="仿宋" w:cs="仿宋"/>
          <w:kern w:val="0"/>
          <w:sz w:val="24"/>
          <w:szCs w:val="24"/>
        </w:rPr>
        <w:fldChar w:fldCharType="end"/>
      </w:r>
      <w:r>
        <w:rPr>
          <w:rFonts w:hint="eastAsia" w:ascii="仿宋" w:hAnsi="仿宋" w:eastAsia="仿宋" w:cs="仿宋"/>
          <w:kern w:val="0"/>
          <w:sz w:val="24"/>
          <w:szCs w:val="24"/>
        </w:rPr>
        <w:t>审查尾工工程。根据修正总概算和工程形象进度，核实尾工工程的未完工作量和投资，如是否经有关部门核实或审批，尾工工程与预留尾工资金是否相匹配。防止将概算外新增项目列作尾工项目，挤占工程投资，或者是大量预留尾工资金的情况。</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 7 \* GB3 </w:instrText>
      </w:r>
      <w:r>
        <w:rPr>
          <w:rFonts w:hint="eastAsia" w:ascii="仿宋" w:hAnsi="仿宋" w:eastAsia="仿宋" w:cs="仿宋"/>
          <w:kern w:val="0"/>
          <w:sz w:val="24"/>
          <w:szCs w:val="24"/>
        </w:rPr>
        <w:fldChar w:fldCharType="separate"/>
      </w:r>
      <w:r>
        <w:rPr>
          <w:rFonts w:hint="eastAsia" w:ascii="仿宋" w:hAnsi="仿宋" w:eastAsia="仿宋" w:cs="仿宋"/>
          <w:kern w:val="0"/>
          <w:sz w:val="24"/>
          <w:szCs w:val="24"/>
        </w:rPr>
        <w:t>⑦</w:t>
      </w:r>
      <w:r>
        <w:rPr>
          <w:rFonts w:hint="eastAsia" w:ascii="仿宋" w:hAnsi="仿宋" w:eastAsia="仿宋" w:cs="仿宋"/>
          <w:kern w:val="0"/>
          <w:sz w:val="24"/>
          <w:szCs w:val="24"/>
        </w:rPr>
        <w:fldChar w:fldCharType="end"/>
      </w:r>
      <w:r>
        <w:rPr>
          <w:rFonts w:hint="eastAsia" w:ascii="仿宋" w:hAnsi="仿宋" w:eastAsia="仿宋" w:cs="仿宋"/>
          <w:kern w:val="0"/>
          <w:sz w:val="24"/>
          <w:szCs w:val="24"/>
        </w:rPr>
        <w:t>审查转出投资、应核销投资及应核销其他支出。关注列支依据是否充分，手续是否完备，内容是否真实，核销是否合规，有无虚列投资的问题。</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 8 \* GB3 </w:instrText>
      </w:r>
      <w:r>
        <w:rPr>
          <w:rFonts w:hint="eastAsia" w:ascii="仿宋" w:hAnsi="仿宋" w:eastAsia="仿宋" w:cs="仿宋"/>
          <w:kern w:val="0"/>
          <w:sz w:val="24"/>
          <w:szCs w:val="24"/>
        </w:rPr>
        <w:fldChar w:fldCharType="separate"/>
      </w:r>
      <w:r>
        <w:rPr>
          <w:rFonts w:hint="eastAsia" w:ascii="仿宋" w:hAnsi="仿宋" w:eastAsia="仿宋" w:cs="仿宋"/>
          <w:kern w:val="0"/>
          <w:sz w:val="24"/>
          <w:szCs w:val="24"/>
        </w:rPr>
        <w:t>⑧</w:t>
      </w:r>
      <w:r>
        <w:rPr>
          <w:rFonts w:hint="eastAsia" w:ascii="仿宋" w:hAnsi="仿宋" w:eastAsia="仿宋" w:cs="仿宋"/>
          <w:kern w:val="0"/>
          <w:sz w:val="24"/>
          <w:szCs w:val="24"/>
        </w:rPr>
        <w:fldChar w:fldCharType="end"/>
      </w:r>
      <w:r>
        <w:rPr>
          <w:rFonts w:hint="eastAsia" w:ascii="仿宋" w:hAnsi="仿宋" w:eastAsia="仿宋" w:cs="仿宋"/>
          <w:kern w:val="0"/>
          <w:sz w:val="24"/>
          <w:szCs w:val="24"/>
        </w:rPr>
        <w:t>审查项目结余资金。审查实际投资是否控制在总投资之内，未使用的工程物资的账务处理是否得当。重点审核库存物资，防止隐匿、转移、挪用库存物资。审查是否存在虚列债权债务，隐匿、转移项目结余资金的问题。</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 9 \* GB3 </w:instrText>
      </w:r>
      <w:r>
        <w:rPr>
          <w:rFonts w:hint="eastAsia" w:ascii="仿宋" w:hAnsi="仿宋" w:eastAsia="仿宋" w:cs="仿宋"/>
          <w:kern w:val="0"/>
          <w:sz w:val="24"/>
          <w:szCs w:val="24"/>
        </w:rPr>
        <w:fldChar w:fldCharType="separate"/>
      </w:r>
      <w:r>
        <w:rPr>
          <w:rFonts w:hint="eastAsia" w:ascii="仿宋" w:hAnsi="仿宋" w:eastAsia="仿宋" w:cs="仿宋"/>
          <w:kern w:val="0"/>
          <w:sz w:val="24"/>
          <w:szCs w:val="24"/>
        </w:rPr>
        <w:t>⑨</w:t>
      </w:r>
      <w:r>
        <w:rPr>
          <w:rFonts w:hint="eastAsia" w:ascii="仿宋" w:hAnsi="仿宋" w:eastAsia="仿宋" w:cs="仿宋"/>
          <w:kern w:val="0"/>
          <w:sz w:val="24"/>
          <w:szCs w:val="24"/>
        </w:rPr>
        <w:fldChar w:fldCharType="end"/>
      </w:r>
      <w:r>
        <w:rPr>
          <w:rFonts w:hint="eastAsia" w:ascii="仿宋" w:hAnsi="仿宋" w:eastAsia="仿宋" w:cs="仿宋"/>
          <w:kern w:val="0"/>
          <w:sz w:val="24"/>
          <w:szCs w:val="24"/>
        </w:rPr>
        <w:t>关注基建收入的情况，包括各项工程建设副产品的变价收入、试生产收入，以及各项索赔和违约金等其他收入，相关收入是否及时入账，核算是否真实、完整，有无隐匿、转移收入的问题。是否按照国家相关规定计算分成，足额上缴或归还建设贷款。</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fldChar w:fldCharType="begin"/>
      </w:r>
      <w:r>
        <w:rPr>
          <w:rFonts w:hint="eastAsia" w:ascii="仿宋" w:hAnsi="仿宋" w:eastAsia="仿宋" w:cs="仿宋"/>
          <w:kern w:val="0"/>
          <w:sz w:val="24"/>
          <w:szCs w:val="24"/>
        </w:rPr>
        <w:instrText xml:space="preserve"> = 10 \* GB3 </w:instrText>
      </w:r>
      <w:r>
        <w:rPr>
          <w:rFonts w:hint="eastAsia" w:ascii="仿宋" w:hAnsi="仿宋" w:eastAsia="仿宋" w:cs="仿宋"/>
          <w:kern w:val="0"/>
          <w:sz w:val="24"/>
          <w:szCs w:val="24"/>
        </w:rPr>
        <w:fldChar w:fldCharType="separate"/>
      </w:r>
      <w:r>
        <w:rPr>
          <w:rFonts w:hint="eastAsia" w:ascii="仿宋" w:hAnsi="仿宋" w:eastAsia="仿宋" w:cs="仿宋"/>
          <w:kern w:val="0"/>
          <w:sz w:val="24"/>
          <w:szCs w:val="24"/>
        </w:rPr>
        <w:t>⑩</w:t>
      </w:r>
      <w:r>
        <w:rPr>
          <w:rFonts w:hint="eastAsia" w:ascii="仿宋" w:hAnsi="仿宋" w:eastAsia="仿宋" w:cs="仿宋"/>
          <w:kern w:val="0"/>
          <w:sz w:val="24"/>
          <w:szCs w:val="24"/>
        </w:rPr>
        <w:fldChar w:fldCharType="end"/>
      </w:r>
      <w:r>
        <w:rPr>
          <w:rFonts w:hint="eastAsia" w:ascii="仿宋" w:hAnsi="仿宋" w:eastAsia="仿宋" w:cs="仿宋"/>
          <w:kern w:val="0"/>
          <w:sz w:val="24"/>
          <w:szCs w:val="24"/>
        </w:rPr>
        <w:t>审查投资包干结余。根据对设计概算的执行情况的分析，正确核算项目包干结余指标，防止将未完工程的投资做为包干结余参与分配。</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p>
    <w:p>
      <w:pPr>
        <w:keepNext w:val="0"/>
        <w:keepLines w:val="0"/>
        <w:pageBreakBefore w:val="0"/>
        <w:kinsoku/>
        <w:wordWrap/>
        <w:overflowPunct/>
        <w:topLinePunct w:val="0"/>
        <w:autoSpaceDE/>
        <w:autoSpaceDN/>
        <w:bidi w:val="0"/>
        <w:spacing w:line="360" w:lineRule="auto"/>
        <w:ind w:left="0" w:leftChars="0"/>
        <w:jc w:val="both"/>
        <w:outlineLvl w:val="0"/>
        <w:rPr>
          <w:rFonts w:hint="eastAsia" w:ascii="仿宋" w:hAnsi="仿宋" w:eastAsia="仿宋" w:cs="仿宋"/>
          <w:b/>
          <w:bCs/>
          <w:sz w:val="32"/>
          <w:szCs w:val="32"/>
        </w:rPr>
      </w:pPr>
      <w:r>
        <w:rPr>
          <w:rFonts w:hint="eastAsia" w:ascii="仿宋" w:hAnsi="仿宋" w:eastAsia="仿宋" w:cs="仿宋"/>
          <w:b/>
          <w:bCs/>
          <w:sz w:val="32"/>
          <w:szCs w:val="32"/>
        </w:rPr>
        <w:t>四、项目总结和咨询服务的部分成效</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在本项目的实施过程中，我公司进行了新的尝试，对传统单一造价咨询服务和财务审计服务转变为提供咨询服务和财务审计服务相融合的咨询模式，进行了阶段性全过程咨询服务的试点；同时，也是我公司开拓新市场新环境的一个项目试点。因为该项目目前还没有全部竣工，咨询成效只能提供部分已经形成的成果。</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一</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过程咨询成果：</w:t>
      </w:r>
    </w:p>
    <w:p>
      <w:pPr>
        <w:keepNext w:val="0"/>
        <w:keepLines w:val="0"/>
        <w:pageBreakBefore w:val="0"/>
        <w:widowControl/>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在项目咨询过程中，为业主单位及时处理了大量的涉及工程造价、合同纠纷、质量管理的问题，举</w:t>
      </w:r>
      <w:r>
        <w:rPr>
          <w:rFonts w:hint="eastAsia" w:ascii="仿宋" w:hAnsi="仿宋" w:eastAsia="仿宋" w:cs="仿宋"/>
          <w:kern w:val="0"/>
          <w:sz w:val="24"/>
          <w:szCs w:val="24"/>
          <w:lang w:val="en-US" w:eastAsia="zh-CN"/>
        </w:rPr>
        <w:t>两</w:t>
      </w:r>
      <w:r>
        <w:rPr>
          <w:rFonts w:hint="eastAsia" w:ascii="仿宋" w:hAnsi="仿宋" w:eastAsia="仿宋" w:cs="仿宋"/>
          <w:kern w:val="0"/>
          <w:sz w:val="24"/>
          <w:szCs w:val="24"/>
        </w:rPr>
        <w:t>个例子如下：</w:t>
      </w:r>
    </w:p>
    <w:p>
      <w:pPr>
        <w:keepNext w:val="0"/>
        <w:keepLines w:val="0"/>
        <w:pageBreakBefore w:val="0"/>
        <w:kinsoku/>
        <w:wordWrap/>
        <w:overflowPunct/>
        <w:topLinePunct w:val="0"/>
        <w:autoSpaceDE/>
        <w:autoSpaceDN/>
        <w:bidi w:val="0"/>
        <w:adjustRightInd w:val="0"/>
        <w:snapToGrid w:val="0"/>
        <w:spacing w:line="360" w:lineRule="auto"/>
        <w:ind w:left="0" w:leftChars="0"/>
        <w:rPr>
          <w:rFonts w:hint="eastAsia" w:ascii="仿宋" w:hAnsi="仿宋" w:eastAsia="仿宋" w:cs="仿宋"/>
          <w:kern w:val="0"/>
          <w:sz w:val="24"/>
          <w:szCs w:val="24"/>
        </w:rPr>
      </w:pPr>
      <w:r>
        <w:rPr>
          <w:rFonts w:hint="eastAsia" w:ascii="仿宋" w:hAnsi="仿宋" w:eastAsia="仿宋" w:cs="仿宋"/>
          <w:b/>
          <w:bCs/>
          <w:kern w:val="0"/>
          <w:sz w:val="24"/>
          <w:szCs w:val="24"/>
        </w:rPr>
        <w:t>例1：电厂主厂房钢结构价格波动调研报告</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自2017年7月</w:t>
      </w:r>
      <w:r>
        <w:rPr>
          <w:rFonts w:hint="eastAsia" w:ascii="仿宋" w:hAnsi="仿宋" w:eastAsia="仿宋" w:cs="仿宋"/>
          <w:color w:val="000000"/>
          <w:sz w:val="24"/>
          <w:szCs w:val="24"/>
          <w:lang w:val="en-US" w:eastAsia="zh-CN"/>
        </w:rPr>
        <w:t>该</w:t>
      </w:r>
      <w:r>
        <w:rPr>
          <w:rFonts w:hint="eastAsia" w:ascii="仿宋" w:hAnsi="仿宋" w:eastAsia="仿宋" w:cs="仿宋"/>
          <w:color w:val="000000"/>
          <w:sz w:val="24"/>
          <w:szCs w:val="24"/>
        </w:rPr>
        <w:t>主体工程开工以来，鉴于国家开展环保督察、原材料产能调整等原因，建筑市场各项原材料价格大幅上涨，</w:t>
      </w:r>
      <w:r>
        <w:rPr>
          <w:rFonts w:hint="eastAsia" w:ascii="仿宋" w:hAnsi="仿宋" w:eastAsia="仿宋" w:cs="仿宋"/>
          <w:color w:val="000000"/>
          <w:sz w:val="24"/>
          <w:szCs w:val="24"/>
          <w:lang w:val="en-US" w:eastAsia="zh-CN"/>
        </w:rPr>
        <w:t>该</w:t>
      </w:r>
      <w:r>
        <w:rPr>
          <w:rFonts w:hint="eastAsia" w:ascii="仿宋" w:hAnsi="仿宋" w:eastAsia="仿宋" w:cs="仿宋"/>
          <w:color w:val="000000"/>
          <w:sz w:val="24"/>
          <w:szCs w:val="24"/>
        </w:rPr>
        <w:t>项目主体施工单位</w:t>
      </w:r>
      <w:r>
        <w:rPr>
          <w:rFonts w:hint="eastAsia" w:ascii="仿宋" w:hAnsi="仿宋" w:eastAsia="仿宋" w:cs="仿宋"/>
          <w:color w:val="000000"/>
          <w:sz w:val="24"/>
          <w:szCs w:val="24"/>
          <w:lang w:val="en-US" w:eastAsia="zh-CN"/>
        </w:rPr>
        <w:t>中建</w:t>
      </w:r>
      <w:r>
        <w:rPr>
          <w:rFonts w:hint="eastAsia" w:ascii="仿宋" w:hAnsi="仿宋" w:eastAsia="仿宋" w:cs="仿宋"/>
          <w:color w:val="000000"/>
          <w:sz w:val="24"/>
          <w:szCs w:val="24"/>
        </w:rPr>
        <w:t>某公司多次在项目协调会上提出其所承担部分的主厂房钢结构工程实际实施价格远高于其合同投标报价，产生了巨额亏损，无力承担，要求建设单位给予补偿。</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b/>
          <w:sz w:val="24"/>
          <w:szCs w:val="24"/>
        </w:rPr>
      </w:pPr>
      <w:r>
        <w:rPr>
          <w:rFonts w:hint="eastAsia" w:ascii="仿宋" w:hAnsi="仿宋" w:eastAsia="仿宋" w:cs="仿宋"/>
          <w:color w:val="000000"/>
          <w:sz w:val="24"/>
          <w:szCs w:val="24"/>
        </w:rPr>
        <w:t>受</w:t>
      </w:r>
      <w:r>
        <w:rPr>
          <w:rFonts w:hint="eastAsia" w:ascii="仿宋" w:hAnsi="仿宋" w:eastAsia="仿宋" w:cs="仿宋"/>
          <w:color w:val="000000"/>
          <w:sz w:val="24"/>
          <w:szCs w:val="24"/>
          <w:lang w:val="en-US" w:eastAsia="zh-CN"/>
        </w:rPr>
        <w:t>业主</w:t>
      </w:r>
      <w:r>
        <w:rPr>
          <w:rFonts w:hint="eastAsia" w:ascii="仿宋" w:hAnsi="仿宋" w:eastAsia="仿宋" w:cs="仿宋"/>
          <w:color w:val="000000"/>
          <w:sz w:val="24"/>
          <w:szCs w:val="24"/>
        </w:rPr>
        <w:t>委托,我们对</w:t>
      </w:r>
      <w:r>
        <w:rPr>
          <w:rFonts w:hint="eastAsia" w:ascii="仿宋" w:hAnsi="仿宋" w:eastAsia="仿宋" w:cs="仿宋"/>
          <w:color w:val="000000"/>
          <w:sz w:val="24"/>
          <w:szCs w:val="24"/>
          <w:lang w:val="en-US" w:eastAsia="zh-CN"/>
        </w:rPr>
        <w:t>该</w:t>
      </w:r>
      <w:r>
        <w:rPr>
          <w:rFonts w:hint="eastAsia" w:ascii="仿宋" w:hAnsi="仿宋" w:eastAsia="仿宋" w:cs="仿宋"/>
          <w:color w:val="000000"/>
          <w:sz w:val="24"/>
          <w:szCs w:val="24"/>
        </w:rPr>
        <w:t>项目主体标段建筑安装工程中厂房钢结构的主要钢材价格以及综合单价进行分析，结合实际钢结构施工成本及市场价格水平进行对比调研，现将调研情况报告如下：</w:t>
      </w:r>
    </w:p>
    <w:p>
      <w:pPr>
        <w:pStyle w:val="3"/>
        <w:keepNext w:val="0"/>
        <w:keepLines w:val="0"/>
        <w:pageBreakBefore w:val="0"/>
        <w:kinsoku/>
        <w:wordWrap/>
        <w:overflowPunct/>
        <w:topLinePunct w:val="0"/>
        <w:autoSpaceDE/>
        <w:autoSpaceDN/>
        <w:bidi w:val="0"/>
        <w:adjustRightInd w:val="0"/>
        <w:snapToGrid w:val="0"/>
        <w:spacing w:line="360" w:lineRule="auto"/>
        <w:ind w:left="0" w:leftChars="0" w:firstLine="472" w:firstLineChars="196"/>
        <w:rPr>
          <w:rFonts w:hint="eastAsia" w:ascii="仿宋" w:hAnsi="仿宋" w:eastAsia="仿宋" w:cs="仿宋"/>
          <w:b w:val="0"/>
          <w:bCs/>
          <w:color w:val="000000"/>
          <w:sz w:val="24"/>
          <w:szCs w:val="24"/>
        </w:rPr>
      </w:pPr>
      <w:r>
        <w:rPr>
          <w:rFonts w:hint="eastAsia" w:ascii="仿宋" w:hAnsi="仿宋" w:eastAsia="仿宋" w:cs="仿宋"/>
          <w:b/>
          <w:bCs w:val="0"/>
          <w:color w:val="000000"/>
          <w:sz w:val="24"/>
          <w:szCs w:val="24"/>
        </w:rPr>
        <w:t>一、</w:t>
      </w:r>
      <w:r>
        <w:rPr>
          <w:rFonts w:hint="eastAsia" w:ascii="仿宋" w:hAnsi="仿宋" w:eastAsia="仿宋" w:cs="仿宋"/>
          <w:b/>
          <w:bCs w:val="0"/>
          <w:color w:val="000000"/>
          <w:sz w:val="24"/>
          <w:szCs w:val="24"/>
          <w:lang w:val="en-US" w:eastAsia="zh-CN"/>
        </w:rPr>
        <w:t>该</w:t>
      </w:r>
      <w:r>
        <w:rPr>
          <w:rFonts w:hint="eastAsia" w:ascii="仿宋" w:hAnsi="仿宋" w:eastAsia="仿宋" w:cs="仿宋"/>
          <w:b/>
          <w:bCs w:val="0"/>
          <w:color w:val="000000"/>
          <w:sz w:val="24"/>
          <w:szCs w:val="24"/>
        </w:rPr>
        <w:t>厂房钢结构情况概述</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略</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主要工程量</w:t>
      </w:r>
      <w:r>
        <w:rPr>
          <w:rFonts w:hint="eastAsia" w:ascii="仿宋" w:hAnsi="仿宋" w:eastAsia="仿宋" w:cs="仿宋"/>
          <w:sz w:val="24"/>
          <w:szCs w:val="24"/>
        </w:rPr>
        <w:t>详见表1。</w:t>
      </w:r>
    </w:p>
    <w:p>
      <w:pPr>
        <w:keepNext w:val="0"/>
        <w:keepLines w:val="0"/>
        <w:pageBreakBefore w:val="0"/>
        <w:kinsoku/>
        <w:wordWrap/>
        <w:overflowPunct/>
        <w:topLinePunct w:val="0"/>
        <w:autoSpaceDE/>
        <w:autoSpaceDN/>
        <w:bidi w:val="0"/>
        <w:spacing w:line="360" w:lineRule="auto"/>
        <w:ind w:left="0" w:leftChars="0" w:firstLine="420" w:firstLineChars="200"/>
        <w:jc w:val="center"/>
        <w:rPr>
          <w:rFonts w:hint="eastAsia" w:ascii="仿宋" w:hAnsi="仿宋" w:eastAsia="仿宋" w:cs="仿宋"/>
          <w:szCs w:val="21"/>
        </w:rPr>
      </w:pPr>
      <w:r>
        <w:rPr>
          <w:rFonts w:hint="eastAsia" w:ascii="仿宋" w:hAnsi="仿宋" w:eastAsia="仿宋" w:cs="仿宋"/>
          <w:szCs w:val="21"/>
        </w:rPr>
        <w:t>表1  概述</w:t>
      </w:r>
    </w:p>
    <w:tbl>
      <w:tblPr>
        <w:tblStyle w:val="10"/>
        <w:tblW w:w="9806" w:type="dxa"/>
        <w:jc w:val="center"/>
        <w:tblInd w:w="-5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1014"/>
        <w:gridCol w:w="1331"/>
        <w:gridCol w:w="1026"/>
        <w:gridCol w:w="1036"/>
        <w:gridCol w:w="2924"/>
        <w:gridCol w:w="1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1"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序号</w:t>
            </w:r>
          </w:p>
        </w:tc>
        <w:tc>
          <w:tcPr>
            <w:tcW w:w="1014"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标段</w:t>
            </w:r>
          </w:p>
        </w:tc>
        <w:tc>
          <w:tcPr>
            <w:tcW w:w="1331"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承包范围</w:t>
            </w:r>
          </w:p>
        </w:tc>
        <w:tc>
          <w:tcPr>
            <w:tcW w:w="1026"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工程量(t)</w:t>
            </w:r>
          </w:p>
        </w:tc>
        <w:tc>
          <w:tcPr>
            <w:tcW w:w="1036"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合价（元）</w:t>
            </w:r>
          </w:p>
        </w:tc>
        <w:tc>
          <w:tcPr>
            <w:tcW w:w="2924"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招标依据</w:t>
            </w:r>
          </w:p>
        </w:tc>
        <w:tc>
          <w:tcPr>
            <w:tcW w:w="1854"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28" w:hRule="atLeast"/>
          <w:jc w:val="center"/>
        </w:trPr>
        <w:tc>
          <w:tcPr>
            <w:tcW w:w="621"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1</w:t>
            </w:r>
          </w:p>
        </w:tc>
        <w:tc>
          <w:tcPr>
            <w:tcW w:w="1014"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某公司</w:t>
            </w:r>
          </w:p>
        </w:tc>
        <w:tc>
          <w:tcPr>
            <w:tcW w:w="1331"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rPr>
            </w:pPr>
            <w:r>
              <w:rPr>
                <w:rFonts w:hint="eastAsia" w:ascii="仿宋" w:hAnsi="仿宋" w:eastAsia="仿宋" w:cs="仿宋"/>
                <w:snapToGrid w:val="0"/>
                <w:kern w:val="0"/>
                <w:sz w:val="18"/>
                <w:szCs w:val="18"/>
              </w:rPr>
              <w:t>钢结构主立柱及</w:t>
            </w:r>
            <w:r>
              <w:rPr>
                <w:rFonts w:hint="eastAsia" w:ascii="仿宋" w:hAnsi="仿宋" w:eastAsia="仿宋" w:cs="仿宋"/>
                <w:sz w:val="18"/>
                <w:szCs w:val="18"/>
              </w:rPr>
              <w:t xml:space="preserve"> A-C轴线屋面钢结构桁架、防火</w:t>
            </w:r>
          </w:p>
        </w:tc>
        <w:tc>
          <w:tcPr>
            <w:tcW w:w="1026"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4899</w:t>
            </w:r>
          </w:p>
        </w:tc>
        <w:tc>
          <w:tcPr>
            <w:tcW w:w="1036" w:type="dxa"/>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bottom"/>
              <w:rPr>
                <w:rFonts w:hint="eastAsia" w:ascii="仿宋" w:hAnsi="仿宋" w:eastAsia="仿宋" w:cs="仿宋"/>
                <w:sz w:val="18"/>
                <w:szCs w:val="18"/>
              </w:rPr>
            </w:pPr>
            <w:r>
              <w:rPr>
                <w:rFonts w:hint="eastAsia" w:ascii="仿宋" w:hAnsi="仿宋" w:eastAsia="仿宋" w:cs="仿宋"/>
                <w:color w:val="000000"/>
                <w:kern w:val="0"/>
                <w:sz w:val="18"/>
                <w:szCs w:val="18"/>
              </w:rPr>
              <w:t>46398290</w:t>
            </w:r>
          </w:p>
        </w:tc>
        <w:tc>
          <w:tcPr>
            <w:tcW w:w="2924" w:type="dxa"/>
            <w:noWrap/>
            <w:vAlign w:val="center"/>
          </w:tcPr>
          <w:p>
            <w:pPr>
              <w:keepNext w:val="0"/>
              <w:keepLines w:val="0"/>
              <w:pageBreakBefore w:val="0"/>
              <w:numPr>
                <w:ilvl w:val="0"/>
                <w:numId w:val="3"/>
              </w:numPr>
              <w:kinsoku/>
              <w:wordWrap/>
              <w:overflowPunct/>
              <w:topLinePunct w:val="0"/>
              <w:autoSpaceDE/>
              <w:autoSpaceDN/>
              <w:bidi w:val="0"/>
              <w:spacing w:line="360" w:lineRule="auto"/>
              <w:ind w:left="0" w:leftChars="0"/>
              <w:rPr>
                <w:rFonts w:hint="eastAsia" w:ascii="仿宋" w:hAnsi="仿宋" w:eastAsia="仿宋" w:cs="仿宋"/>
                <w:sz w:val="18"/>
                <w:szCs w:val="18"/>
              </w:rPr>
            </w:pPr>
            <w:r>
              <w:rPr>
                <w:rFonts w:hint="eastAsia" w:ascii="仿宋" w:hAnsi="仿宋" w:eastAsia="仿宋" w:cs="仿宋"/>
                <w:sz w:val="18"/>
                <w:szCs w:val="18"/>
              </w:rPr>
              <w:t>工程量按概算工程量；</w:t>
            </w:r>
          </w:p>
          <w:p>
            <w:pPr>
              <w:keepNext w:val="0"/>
              <w:keepLines w:val="0"/>
              <w:pageBreakBefore w:val="0"/>
              <w:numPr>
                <w:ilvl w:val="0"/>
                <w:numId w:val="3"/>
              </w:numPr>
              <w:kinsoku/>
              <w:wordWrap/>
              <w:overflowPunct/>
              <w:topLinePunct w:val="0"/>
              <w:autoSpaceDE/>
              <w:autoSpaceDN/>
              <w:bidi w:val="0"/>
              <w:spacing w:line="360" w:lineRule="auto"/>
              <w:ind w:left="0" w:leftChars="0"/>
              <w:rPr>
                <w:rFonts w:hint="eastAsia" w:ascii="仿宋" w:hAnsi="仿宋" w:eastAsia="仿宋" w:cs="仿宋"/>
                <w:sz w:val="18"/>
                <w:szCs w:val="18"/>
              </w:rPr>
            </w:pPr>
            <w:r>
              <w:rPr>
                <w:rFonts w:hint="eastAsia" w:ascii="仿宋" w:hAnsi="仿宋" w:eastAsia="仿宋" w:cs="仿宋"/>
                <w:sz w:val="18"/>
                <w:szCs w:val="18"/>
              </w:rPr>
              <w:t>定额选用：</w:t>
            </w:r>
            <w:bookmarkStart w:id="1" w:name="OLE_LINK17"/>
            <w:bookmarkStart w:id="2" w:name="OLE_LINK16"/>
            <w:bookmarkStart w:id="3" w:name="OLE_LINK43"/>
            <w:bookmarkStart w:id="4" w:name="OLE_LINK44"/>
            <w:bookmarkStart w:id="5" w:name="OLE_LINK15"/>
            <w:r>
              <w:rPr>
                <w:rFonts w:hint="eastAsia" w:ascii="仿宋" w:hAnsi="仿宋" w:eastAsia="仿宋" w:cs="仿宋"/>
                <w:sz w:val="18"/>
                <w:szCs w:val="18"/>
              </w:rPr>
              <w:t>《2013年版电力建设工程定额估价表》</w:t>
            </w:r>
            <w:bookmarkEnd w:id="1"/>
            <w:bookmarkEnd w:id="2"/>
            <w:bookmarkEnd w:id="3"/>
            <w:bookmarkEnd w:id="4"/>
            <w:bookmarkEnd w:id="5"/>
            <w:r>
              <w:rPr>
                <w:rFonts w:hint="eastAsia" w:ascii="仿宋" w:hAnsi="仿宋" w:eastAsia="仿宋" w:cs="仿宋"/>
                <w:sz w:val="18"/>
                <w:szCs w:val="18"/>
              </w:rPr>
              <w:t>概算册；</w:t>
            </w:r>
          </w:p>
          <w:p>
            <w:pPr>
              <w:keepNext w:val="0"/>
              <w:keepLines w:val="0"/>
              <w:pageBreakBefore w:val="0"/>
              <w:numPr>
                <w:ilvl w:val="0"/>
                <w:numId w:val="3"/>
              </w:numPr>
              <w:kinsoku/>
              <w:wordWrap/>
              <w:overflowPunct/>
              <w:topLinePunct w:val="0"/>
              <w:autoSpaceDE/>
              <w:autoSpaceDN/>
              <w:bidi w:val="0"/>
              <w:spacing w:line="360" w:lineRule="auto"/>
              <w:ind w:left="0" w:leftChars="0"/>
              <w:rPr>
                <w:rFonts w:hint="eastAsia" w:ascii="仿宋" w:hAnsi="仿宋" w:eastAsia="仿宋" w:cs="仿宋"/>
                <w:sz w:val="18"/>
                <w:szCs w:val="18"/>
              </w:rPr>
            </w:pPr>
            <w:r>
              <w:rPr>
                <w:rFonts w:hint="eastAsia" w:ascii="仿宋" w:hAnsi="仿宋" w:eastAsia="仿宋" w:cs="仿宋"/>
                <w:sz w:val="18"/>
                <w:szCs w:val="18"/>
              </w:rPr>
              <w:t>材料价格选用2017年第３期《深圳建设工程价格信息》。</w:t>
            </w:r>
          </w:p>
        </w:tc>
        <w:tc>
          <w:tcPr>
            <w:tcW w:w="1854"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钢结构吊车梁、钢轨、钢平台、爬梯及栏杆、盖板及格栅板不涉及价格补偿，不做分析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1"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2</w:t>
            </w:r>
          </w:p>
        </w:tc>
        <w:tc>
          <w:tcPr>
            <w:tcW w:w="1014"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lang w:val="en-US" w:eastAsia="zh-CN"/>
              </w:rPr>
            </w:pPr>
            <w:r>
              <w:rPr>
                <w:rFonts w:hint="eastAsia" w:ascii="仿宋" w:hAnsi="仿宋" w:eastAsia="仿宋" w:cs="仿宋"/>
                <w:sz w:val="18"/>
                <w:szCs w:val="18"/>
              </w:rPr>
              <w:t>某局</w:t>
            </w:r>
          </w:p>
        </w:tc>
        <w:tc>
          <w:tcPr>
            <w:tcW w:w="1331"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C-D、D-E轴线屋面钢结构及其他、防火</w:t>
            </w:r>
          </w:p>
        </w:tc>
        <w:tc>
          <w:tcPr>
            <w:tcW w:w="1026"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5627</w:t>
            </w:r>
          </w:p>
        </w:tc>
        <w:tc>
          <w:tcPr>
            <w:tcW w:w="1036"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63122334</w:t>
            </w:r>
          </w:p>
        </w:tc>
        <w:tc>
          <w:tcPr>
            <w:tcW w:w="2924" w:type="dxa"/>
            <w:noWrap/>
            <w:vAlign w:val="center"/>
          </w:tcPr>
          <w:p>
            <w:pPr>
              <w:keepNext w:val="0"/>
              <w:keepLines w:val="0"/>
              <w:pageBreakBefore w:val="0"/>
              <w:numPr>
                <w:ilvl w:val="0"/>
                <w:numId w:val="4"/>
              </w:numPr>
              <w:kinsoku/>
              <w:wordWrap/>
              <w:overflowPunct/>
              <w:topLinePunct w:val="0"/>
              <w:autoSpaceDE/>
              <w:autoSpaceDN/>
              <w:bidi w:val="0"/>
              <w:spacing w:line="360" w:lineRule="auto"/>
              <w:ind w:left="0" w:leftChars="0"/>
              <w:rPr>
                <w:rFonts w:hint="eastAsia" w:ascii="仿宋" w:hAnsi="仿宋" w:eastAsia="仿宋" w:cs="仿宋"/>
                <w:sz w:val="18"/>
                <w:szCs w:val="18"/>
              </w:rPr>
            </w:pPr>
            <w:r>
              <w:rPr>
                <w:rFonts w:hint="eastAsia" w:ascii="仿宋" w:hAnsi="仿宋" w:eastAsia="仿宋" w:cs="仿宋"/>
                <w:sz w:val="18"/>
                <w:szCs w:val="18"/>
              </w:rPr>
              <w:t>工程量按施工图算量；</w:t>
            </w:r>
          </w:p>
          <w:p>
            <w:pPr>
              <w:keepNext w:val="0"/>
              <w:keepLines w:val="0"/>
              <w:pageBreakBefore w:val="0"/>
              <w:numPr>
                <w:ilvl w:val="0"/>
                <w:numId w:val="4"/>
              </w:numPr>
              <w:kinsoku/>
              <w:wordWrap/>
              <w:overflowPunct/>
              <w:topLinePunct w:val="0"/>
              <w:autoSpaceDE/>
              <w:autoSpaceDN/>
              <w:bidi w:val="0"/>
              <w:spacing w:line="360" w:lineRule="auto"/>
              <w:ind w:left="0" w:leftChars="0"/>
              <w:rPr>
                <w:rFonts w:hint="eastAsia" w:ascii="仿宋" w:hAnsi="仿宋" w:eastAsia="仿宋" w:cs="仿宋"/>
                <w:sz w:val="18"/>
                <w:szCs w:val="18"/>
              </w:rPr>
            </w:pPr>
            <w:r>
              <w:rPr>
                <w:rFonts w:hint="eastAsia" w:ascii="仿宋" w:hAnsi="仿宋" w:eastAsia="仿宋" w:cs="仿宋"/>
                <w:sz w:val="18"/>
                <w:szCs w:val="18"/>
              </w:rPr>
              <w:t>定额选用：《深圳装配式建筑工程消耗量定额》（2016）；</w:t>
            </w:r>
          </w:p>
          <w:p>
            <w:pPr>
              <w:keepNext w:val="0"/>
              <w:keepLines w:val="0"/>
              <w:pageBreakBefore w:val="0"/>
              <w:numPr>
                <w:ilvl w:val="0"/>
                <w:numId w:val="4"/>
              </w:numPr>
              <w:kinsoku/>
              <w:wordWrap/>
              <w:overflowPunct/>
              <w:topLinePunct w:val="0"/>
              <w:autoSpaceDE/>
              <w:autoSpaceDN/>
              <w:bidi w:val="0"/>
              <w:spacing w:line="360" w:lineRule="auto"/>
              <w:ind w:left="0" w:leftChars="0"/>
              <w:rPr>
                <w:rFonts w:hint="eastAsia" w:ascii="仿宋" w:hAnsi="仿宋" w:eastAsia="仿宋" w:cs="仿宋"/>
                <w:sz w:val="18"/>
                <w:szCs w:val="18"/>
              </w:rPr>
            </w:pPr>
            <w:r>
              <w:rPr>
                <w:rFonts w:hint="eastAsia" w:ascii="仿宋" w:hAnsi="仿宋" w:eastAsia="仿宋" w:cs="仿宋"/>
                <w:sz w:val="18"/>
                <w:szCs w:val="18"/>
              </w:rPr>
              <w:t>材料价格选用2018年第4月《深圳建设工程价格信息》。</w:t>
            </w:r>
          </w:p>
        </w:tc>
        <w:tc>
          <w:tcPr>
            <w:tcW w:w="1854"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21"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3</w:t>
            </w:r>
          </w:p>
        </w:tc>
        <w:tc>
          <w:tcPr>
            <w:tcW w:w="1014"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合计</w:t>
            </w:r>
          </w:p>
        </w:tc>
        <w:tc>
          <w:tcPr>
            <w:tcW w:w="1331"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rPr>
            </w:pPr>
          </w:p>
        </w:tc>
        <w:tc>
          <w:tcPr>
            <w:tcW w:w="1026"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10526</w:t>
            </w:r>
          </w:p>
        </w:tc>
        <w:tc>
          <w:tcPr>
            <w:tcW w:w="1036"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109520624</w:t>
            </w:r>
          </w:p>
        </w:tc>
        <w:tc>
          <w:tcPr>
            <w:tcW w:w="2924"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rPr>
            </w:pPr>
          </w:p>
        </w:tc>
        <w:tc>
          <w:tcPr>
            <w:tcW w:w="1854"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rPr>
            </w:pPr>
          </w:p>
        </w:tc>
      </w:tr>
    </w:tbl>
    <w:p>
      <w:pPr>
        <w:pStyle w:val="3"/>
        <w:keepNext w:val="0"/>
        <w:keepLines w:val="0"/>
        <w:pageBreakBefore w:val="0"/>
        <w:kinsoku/>
        <w:wordWrap/>
        <w:overflowPunct/>
        <w:topLinePunct w:val="0"/>
        <w:autoSpaceDE/>
        <w:autoSpaceDN/>
        <w:bidi w:val="0"/>
        <w:adjustRightInd w:val="0"/>
        <w:snapToGrid w:val="0"/>
        <w:spacing w:line="360" w:lineRule="auto"/>
        <w:ind w:left="0" w:leftChars="0" w:firstLine="482" w:firstLineChars="200"/>
        <w:rPr>
          <w:rFonts w:hint="eastAsia" w:ascii="仿宋" w:hAnsi="仿宋" w:eastAsia="仿宋" w:cs="仿宋"/>
          <w:b/>
          <w:color w:val="000000"/>
          <w:sz w:val="24"/>
          <w:szCs w:val="24"/>
        </w:rPr>
      </w:pPr>
    </w:p>
    <w:p>
      <w:pPr>
        <w:pStyle w:val="3"/>
        <w:keepNext w:val="0"/>
        <w:keepLines w:val="0"/>
        <w:pageBreakBefore w:val="0"/>
        <w:kinsoku/>
        <w:wordWrap/>
        <w:overflowPunct/>
        <w:topLinePunct w:val="0"/>
        <w:autoSpaceDE/>
        <w:autoSpaceDN/>
        <w:bidi w:val="0"/>
        <w:adjustRightInd w:val="0"/>
        <w:snapToGrid w:val="0"/>
        <w:spacing w:line="360" w:lineRule="auto"/>
        <w:ind w:left="0" w:leftChars="0" w:firstLine="482" w:firstLineChars="200"/>
        <w:rPr>
          <w:rFonts w:hint="eastAsia" w:ascii="仿宋" w:hAnsi="仿宋" w:eastAsia="仿宋" w:cs="仿宋"/>
          <w:b/>
          <w:color w:val="000000"/>
          <w:sz w:val="24"/>
          <w:szCs w:val="24"/>
        </w:rPr>
      </w:pPr>
      <w:r>
        <w:rPr>
          <w:rFonts w:hint="eastAsia" w:ascii="仿宋" w:hAnsi="仿宋" w:eastAsia="仿宋" w:cs="仿宋"/>
          <w:b/>
          <w:color w:val="000000"/>
          <w:sz w:val="24"/>
          <w:szCs w:val="24"/>
        </w:rPr>
        <w:t>二、钢结构价格差异分析</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对比某公司和某局的钢结构承包合同，钢结构价格差异的产生主要有三个因素：</w:t>
      </w:r>
    </w:p>
    <w:p>
      <w:pPr>
        <w:keepNext w:val="0"/>
        <w:keepLines w:val="0"/>
        <w:pageBreakBefore w:val="0"/>
        <w:kinsoku/>
        <w:wordWrap/>
        <w:overflowPunct/>
        <w:topLinePunct w:val="0"/>
        <w:autoSpaceDE/>
        <w:autoSpaceDN/>
        <w:bidi w:val="0"/>
        <w:adjustRightInd w:val="0"/>
        <w:snapToGrid w:val="0"/>
        <w:spacing w:line="360" w:lineRule="auto"/>
        <w:ind w:left="0" w:leftChars="0" w:firstLine="477" w:firstLineChars="198"/>
        <w:rPr>
          <w:rFonts w:hint="eastAsia" w:ascii="仿宋" w:hAnsi="仿宋" w:eastAsia="仿宋" w:cs="仿宋"/>
          <w:b/>
          <w:bCs/>
          <w:snapToGrid w:val="0"/>
          <w:kern w:val="0"/>
          <w:sz w:val="24"/>
          <w:szCs w:val="24"/>
        </w:rPr>
      </w:pPr>
      <w:r>
        <w:rPr>
          <w:rFonts w:hint="eastAsia" w:ascii="仿宋" w:hAnsi="仿宋" w:eastAsia="仿宋" w:cs="仿宋"/>
          <w:b/>
          <w:bCs/>
          <w:snapToGrid w:val="0"/>
          <w:kern w:val="0"/>
          <w:sz w:val="24"/>
          <w:szCs w:val="24"/>
        </w:rPr>
        <w:t>1．招标时间段不同造成的市场材料的变化</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sz w:val="24"/>
          <w:szCs w:val="24"/>
        </w:rPr>
      </w:pPr>
      <w:r>
        <w:rPr>
          <w:rFonts w:hint="eastAsia" w:ascii="仿宋" w:hAnsi="仿宋" w:eastAsia="仿宋" w:cs="仿宋"/>
          <w:snapToGrid w:val="0"/>
          <w:kern w:val="0"/>
          <w:sz w:val="24"/>
          <w:szCs w:val="24"/>
        </w:rPr>
        <w:t>两个标段的招标时间段不同，某公司的钢结构材料价格是依据</w:t>
      </w:r>
      <w:r>
        <w:rPr>
          <w:rFonts w:hint="eastAsia" w:ascii="仿宋" w:hAnsi="仿宋" w:eastAsia="仿宋" w:cs="仿宋"/>
          <w:sz w:val="24"/>
          <w:szCs w:val="24"/>
        </w:rPr>
        <w:t>2017年第３期《深圳建设工程价格信息》，某局的材料价格是依据2018年第4月《深圳建设工程价格信息》。而对应的时间段内，钢材市场由于铁矿石、环保等原因，原材料价格产生了较大波动。以１０ＭＭ钢板（Q235B）价格变化幅度进行比较，详见图1。</w:t>
      </w:r>
    </w:p>
    <w:p>
      <w:pPr>
        <w:keepNext w:val="0"/>
        <w:keepLines w:val="0"/>
        <w:pageBreakBefore w:val="0"/>
        <w:kinsoku/>
        <w:wordWrap/>
        <w:overflowPunct/>
        <w:topLinePunct w:val="0"/>
        <w:autoSpaceDE/>
        <w:autoSpaceDN/>
        <w:bidi w:val="0"/>
        <w:spacing w:line="360" w:lineRule="auto"/>
        <w:ind w:left="0" w:leftChars="0" w:firstLine="360" w:firstLineChars="200"/>
        <w:rPr>
          <w:rFonts w:hint="eastAsia" w:ascii="仿宋" w:hAnsi="仿宋" w:eastAsia="仿宋" w:cs="仿宋"/>
          <w:sz w:val="24"/>
          <w:szCs w:val="24"/>
        </w:rPr>
      </w:pPr>
      <w:r>
        <w:rPr>
          <w:rFonts w:hint="eastAsia" w:ascii="仿宋" w:hAnsi="仿宋" w:eastAsia="仿宋" w:cs="仿宋"/>
          <w:sz w:val="18"/>
          <w:szCs w:val="18"/>
        </w:rPr>
        <w:drawing>
          <wp:inline distT="0" distB="0" distL="114300" distR="114300">
            <wp:extent cx="4572000" cy="2743200"/>
            <wp:effectExtent l="4445" t="4445" r="8255" b="8255"/>
            <wp:docPr id="3" name="图表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keepNext w:val="0"/>
        <w:keepLines w:val="0"/>
        <w:pageBreakBefore w:val="0"/>
        <w:kinsoku/>
        <w:wordWrap/>
        <w:overflowPunct/>
        <w:topLinePunct w:val="0"/>
        <w:autoSpaceDE/>
        <w:autoSpaceDN/>
        <w:bidi w:val="0"/>
        <w:spacing w:line="360" w:lineRule="auto"/>
        <w:ind w:left="0" w:leftChars="0" w:firstLine="420" w:firstLineChars="200"/>
        <w:jc w:val="center"/>
        <w:rPr>
          <w:rFonts w:hint="eastAsia" w:ascii="仿宋" w:hAnsi="仿宋" w:eastAsia="仿宋" w:cs="仿宋"/>
          <w:szCs w:val="21"/>
        </w:rPr>
      </w:pPr>
      <w:r>
        <w:rPr>
          <w:rFonts w:hint="eastAsia" w:ascii="仿宋" w:hAnsi="仿宋" w:eastAsia="仿宋" w:cs="仿宋"/>
          <w:szCs w:val="21"/>
        </w:rPr>
        <w:t>图1  10mm厚Q235钢板市场价格波动曲线图</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sz w:val="24"/>
          <w:szCs w:val="24"/>
        </w:rPr>
      </w:pPr>
      <w:r>
        <w:rPr>
          <w:rFonts w:hint="eastAsia" w:ascii="仿宋" w:hAnsi="仿宋" w:eastAsia="仿宋" w:cs="仿宋"/>
          <w:sz w:val="24"/>
          <w:szCs w:val="24"/>
        </w:rPr>
        <w:t>2017年第３期（第2月）１０ＭＭ钢板（Q235B）市场价格为4370元/t,2018年第4月１０ＭＭ钢板（Q235B）市场价格为5165元/t，二者基准期材料价格相差795元/t，涨价幅度18.19%。</w:t>
      </w:r>
    </w:p>
    <w:p>
      <w:pPr>
        <w:keepNext w:val="0"/>
        <w:keepLines w:val="0"/>
        <w:pageBreakBefore w:val="0"/>
        <w:kinsoku/>
        <w:wordWrap/>
        <w:overflowPunct/>
        <w:topLinePunct w:val="0"/>
        <w:autoSpaceDE/>
        <w:autoSpaceDN/>
        <w:bidi w:val="0"/>
        <w:adjustRightInd w:val="0"/>
        <w:snapToGrid w:val="0"/>
        <w:spacing w:line="360" w:lineRule="auto"/>
        <w:ind w:left="0" w:leftChars="0" w:firstLine="482" w:firstLineChars="200"/>
        <w:rPr>
          <w:rFonts w:hint="eastAsia" w:ascii="仿宋" w:hAnsi="仿宋" w:eastAsia="仿宋" w:cs="仿宋"/>
          <w:sz w:val="24"/>
          <w:szCs w:val="24"/>
        </w:rPr>
      </w:pPr>
      <w:r>
        <w:rPr>
          <w:rFonts w:hint="eastAsia" w:ascii="仿宋" w:hAnsi="仿宋" w:eastAsia="仿宋" w:cs="仿宋"/>
          <w:b/>
          <w:bCs/>
          <w:snapToGrid w:val="0"/>
          <w:kern w:val="0"/>
          <w:sz w:val="24"/>
          <w:szCs w:val="24"/>
        </w:rPr>
        <w:t>2．选用定额不同且定额水平不一致</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sz w:val="24"/>
          <w:szCs w:val="24"/>
        </w:rPr>
      </w:pPr>
      <w:r>
        <w:rPr>
          <w:rFonts w:hint="eastAsia" w:ascii="仿宋" w:hAnsi="仿宋" w:eastAsia="仿宋" w:cs="仿宋"/>
          <w:snapToGrid w:val="0"/>
          <w:kern w:val="0"/>
          <w:sz w:val="24"/>
          <w:szCs w:val="24"/>
        </w:rPr>
        <w:t>某公司编制价格时选用的定额是《2013年版电力建设工程定额估价表》概算册，某局选用的定额是《深圳装配式建筑工程消耗量定额》（2016）。电力定额适用火力发电工程，钢结构部分的定额适用于常规火电厂厂房钢构，其结构相对简单，工艺并不复杂。地方定额适用于所有的工业和民用建筑，根据工艺及施工特点有不同的定额可以选用。二者的定额水平不一致，为便于比较，现分别用不同定额计算钢结构柱的安装费（主材费按0计入，人工费按2018年4月。计算时不考虑其他任何特殊因素），详见表2（定额水平对比）。</w:t>
      </w:r>
    </w:p>
    <w:p>
      <w:pPr>
        <w:keepNext w:val="0"/>
        <w:keepLines w:val="0"/>
        <w:pageBreakBefore w:val="0"/>
        <w:kinsoku/>
        <w:wordWrap/>
        <w:overflowPunct/>
        <w:topLinePunct w:val="0"/>
        <w:autoSpaceDE/>
        <w:autoSpaceDN/>
        <w:bidi w:val="0"/>
        <w:spacing w:line="360" w:lineRule="auto"/>
        <w:ind w:left="0" w:leftChars="0" w:firstLine="480"/>
        <w:jc w:val="center"/>
        <w:rPr>
          <w:rFonts w:hint="eastAsia" w:ascii="仿宋" w:hAnsi="仿宋" w:eastAsia="仿宋" w:cs="仿宋"/>
          <w:snapToGrid w:val="0"/>
          <w:kern w:val="0"/>
          <w:szCs w:val="21"/>
        </w:rPr>
      </w:pPr>
      <w:r>
        <w:rPr>
          <w:rFonts w:hint="eastAsia" w:ascii="仿宋" w:hAnsi="仿宋" w:eastAsia="仿宋" w:cs="仿宋"/>
          <w:snapToGrid w:val="0"/>
          <w:kern w:val="0"/>
          <w:szCs w:val="21"/>
        </w:rPr>
        <w:t>表2  定额水平对比（金额单位：人民币元）</w:t>
      </w:r>
    </w:p>
    <w:tbl>
      <w:tblPr>
        <w:tblStyle w:val="10"/>
        <w:tblW w:w="96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9"/>
        <w:gridCol w:w="960"/>
        <w:gridCol w:w="579"/>
        <w:gridCol w:w="1003"/>
        <w:gridCol w:w="2379"/>
        <w:gridCol w:w="861"/>
        <w:gridCol w:w="775"/>
        <w:gridCol w:w="949"/>
        <w:gridCol w:w="851"/>
        <w:gridCol w:w="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9"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序号</w:t>
            </w:r>
          </w:p>
        </w:tc>
        <w:tc>
          <w:tcPr>
            <w:tcW w:w="960"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选用定额</w:t>
            </w:r>
          </w:p>
        </w:tc>
        <w:tc>
          <w:tcPr>
            <w:tcW w:w="579"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定额子目</w:t>
            </w:r>
          </w:p>
        </w:tc>
        <w:tc>
          <w:tcPr>
            <w:tcW w:w="1003"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子目名称</w:t>
            </w:r>
          </w:p>
        </w:tc>
        <w:tc>
          <w:tcPr>
            <w:tcW w:w="2379"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工作内容</w:t>
            </w:r>
          </w:p>
        </w:tc>
        <w:tc>
          <w:tcPr>
            <w:tcW w:w="861"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人工费</w:t>
            </w:r>
          </w:p>
        </w:tc>
        <w:tc>
          <w:tcPr>
            <w:tcW w:w="775"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材料费</w:t>
            </w:r>
          </w:p>
        </w:tc>
        <w:tc>
          <w:tcPr>
            <w:tcW w:w="949"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机械费</w:t>
            </w:r>
          </w:p>
        </w:tc>
        <w:tc>
          <w:tcPr>
            <w:tcW w:w="851"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其他</w:t>
            </w:r>
          </w:p>
        </w:tc>
        <w:tc>
          <w:tcPr>
            <w:tcW w:w="894"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综合单价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9"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1</w:t>
            </w:r>
          </w:p>
        </w:tc>
        <w:tc>
          <w:tcPr>
            <w:tcW w:w="960"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地方定额</w:t>
            </w:r>
          </w:p>
        </w:tc>
        <w:tc>
          <w:tcPr>
            <w:tcW w:w="579"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100002-2</w:t>
            </w:r>
          </w:p>
        </w:tc>
        <w:tc>
          <w:tcPr>
            <w:tcW w:w="1003"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钢柱安装 每根构件质量10.0t以内</w:t>
            </w:r>
          </w:p>
        </w:tc>
        <w:tc>
          <w:tcPr>
            <w:tcW w:w="2379"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构件加固、翻身就位、吊装矫正、拧紧螺栓、焊接固定。</w:t>
            </w:r>
          </w:p>
        </w:tc>
        <w:tc>
          <w:tcPr>
            <w:tcW w:w="861"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1115.38</w:t>
            </w:r>
          </w:p>
        </w:tc>
        <w:tc>
          <w:tcPr>
            <w:tcW w:w="775"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360.93</w:t>
            </w:r>
          </w:p>
        </w:tc>
        <w:tc>
          <w:tcPr>
            <w:tcW w:w="949"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116.76</w:t>
            </w:r>
          </w:p>
        </w:tc>
        <w:tc>
          <w:tcPr>
            <w:tcW w:w="851"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292.67</w:t>
            </w:r>
          </w:p>
        </w:tc>
        <w:tc>
          <w:tcPr>
            <w:tcW w:w="894"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1885.74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359"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2</w:t>
            </w:r>
          </w:p>
        </w:tc>
        <w:tc>
          <w:tcPr>
            <w:tcW w:w="960"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电力概算定额</w:t>
            </w:r>
          </w:p>
        </w:tc>
        <w:tc>
          <w:tcPr>
            <w:tcW w:w="579"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GT8-3</w:t>
            </w:r>
          </w:p>
        </w:tc>
        <w:tc>
          <w:tcPr>
            <w:tcW w:w="1003"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主厂房钢结构 钢柱</w:t>
            </w:r>
          </w:p>
        </w:tc>
        <w:tc>
          <w:tcPr>
            <w:tcW w:w="2379"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color w:val="000000"/>
                <w:kern w:val="0"/>
                <w:sz w:val="18"/>
                <w:szCs w:val="18"/>
              </w:rPr>
              <w:t>1.材料矫正、放样、划线、截料、平直、钻孔、焊接、成品编号堆放； 2.防锈、清扫、擦掉油污、刷漆； 3.钢柱场内运输及装卸、拼装、起吊、就位、校正、焊接； 4.钢柱安装</w:t>
            </w:r>
          </w:p>
        </w:tc>
        <w:tc>
          <w:tcPr>
            <w:tcW w:w="861"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58.1</w:t>
            </w:r>
          </w:p>
        </w:tc>
        <w:tc>
          <w:tcPr>
            <w:tcW w:w="775"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110.035</w:t>
            </w:r>
          </w:p>
        </w:tc>
        <w:tc>
          <w:tcPr>
            <w:tcW w:w="949"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376.08</w:t>
            </w:r>
          </w:p>
        </w:tc>
        <w:tc>
          <w:tcPr>
            <w:tcW w:w="851"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270.6</w:t>
            </w:r>
          </w:p>
        </w:tc>
        <w:tc>
          <w:tcPr>
            <w:tcW w:w="894"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800.59</w:t>
            </w:r>
          </w:p>
        </w:tc>
      </w:tr>
    </w:tbl>
    <w:p>
      <w:pPr>
        <w:keepNext w:val="0"/>
        <w:keepLines w:val="0"/>
        <w:pageBreakBefore w:val="0"/>
        <w:kinsoku/>
        <w:wordWrap/>
        <w:overflowPunct/>
        <w:topLinePunct w:val="0"/>
        <w:autoSpaceDE/>
        <w:autoSpaceDN/>
        <w:bidi w:val="0"/>
        <w:spacing w:line="360" w:lineRule="auto"/>
        <w:ind w:left="0" w:leftChars="0" w:firstLine="480"/>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地方定额钢管柱的安装综合单价是1885.74元/t,电力概算钢管柱的安装综合单价是800.59元/t。综上可见，对比钢结构安装，二者之间的价格差异为1085.15元/t。</w:t>
      </w:r>
    </w:p>
    <w:p>
      <w:pPr>
        <w:keepNext w:val="0"/>
        <w:keepLines w:val="0"/>
        <w:pageBreakBefore w:val="0"/>
        <w:kinsoku/>
        <w:wordWrap/>
        <w:overflowPunct/>
        <w:topLinePunct w:val="0"/>
        <w:autoSpaceDE/>
        <w:autoSpaceDN/>
        <w:bidi w:val="0"/>
        <w:spacing w:line="360" w:lineRule="auto"/>
        <w:ind w:left="0" w:leftChars="0"/>
        <w:rPr>
          <w:rFonts w:hint="eastAsia" w:ascii="仿宋" w:hAnsi="仿宋" w:eastAsia="仿宋" w:cs="仿宋"/>
          <w:b/>
          <w:bCs/>
          <w:snapToGrid w:val="0"/>
          <w:kern w:val="0"/>
          <w:sz w:val="24"/>
          <w:szCs w:val="24"/>
        </w:rPr>
      </w:pPr>
      <w:r>
        <w:rPr>
          <w:rFonts w:hint="eastAsia" w:ascii="仿宋" w:hAnsi="仿宋" w:eastAsia="仿宋" w:cs="仿宋"/>
          <w:b/>
          <w:bCs/>
          <w:snapToGrid w:val="0"/>
          <w:kern w:val="0"/>
          <w:sz w:val="24"/>
          <w:szCs w:val="24"/>
        </w:rPr>
        <w:t>3.招标阶段设计深度不一致</w:t>
      </w:r>
    </w:p>
    <w:p>
      <w:pPr>
        <w:keepNext w:val="0"/>
        <w:keepLines w:val="0"/>
        <w:pageBreakBefore w:val="0"/>
        <w:kinsoku/>
        <w:wordWrap/>
        <w:overflowPunct/>
        <w:topLinePunct w:val="0"/>
        <w:autoSpaceDE/>
        <w:autoSpaceDN/>
        <w:bidi w:val="0"/>
        <w:spacing w:line="360" w:lineRule="auto"/>
        <w:ind w:left="0" w:leftChars="0" w:firstLine="482"/>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某公司招投标时无施工图，清单列项仅依据工程概算，没有详细的项目特征，招标控制价及投标报价时双方都只能依据常规的钢结构来进行考虑。如钢管柱的材质，招投标时均是按Q235B，而施工图材质为Q345B ；如防腐油漆的做法，招投标时只能参照概算定额含量来考虑，常规钢构所用油漆为防锈漆（底漆）、环氧云铁漆等（中间漆、面漆)，油漆厚度一般为150微米，而施工图所用油漆为环氧富锌底漆（底漆）、环氧云铁漆（中间漆）、丙烯酸聚氨酯面漆（面漆），油漆厚度不小于240微米。</w:t>
      </w:r>
    </w:p>
    <w:p>
      <w:pPr>
        <w:keepNext w:val="0"/>
        <w:keepLines w:val="0"/>
        <w:pageBreakBefore w:val="0"/>
        <w:kinsoku/>
        <w:wordWrap/>
        <w:overflowPunct/>
        <w:topLinePunct w:val="0"/>
        <w:autoSpaceDE/>
        <w:autoSpaceDN/>
        <w:bidi w:val="0"/>
        <w:spacing w:line="360" w:lineRule="auto"/>
        <w:ind w:left="0" w:leftChars="0" w:firstLine="482"/>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某局招投标时，设计院已出版详细的施工图纸，工艺特点都能很明显的体现在清单特征内。</w:t>
      </w:r>
    </w:p>
    <w:p>
      <w:pPr>
        <w:keepNext w:val="0"/>
        <w:keepLines w:val="0"/>
        <w:pageBreakBefore w:val="0"/>
        <w:kinsoku/>
        <w:wordWrap/>
        <w:overflowPunct/>
        <w:topLinePunct w:val="0"/>
        <w:autoSpaceDE/>
        <w:autoSpaceDN/>
        <w:bidi w:val="0"/>
        <w:spacing w:line="360" w:lineRule="auto"/>
        <w:ind w:left="0" w:leftChars="0" w:firstLine="482"/>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设计深度的不一致也是造成价格差异的主要因素，详见表3、表4。</w:t>
      </w:r>
    </w:p>
    <w:p>
      <w:pPr>
        <w:keepNext w:val="0"/>
        <w:keepLines w:val="0"/>
        <w:pageBreakBefore w:val="0"/>
        <w:kinsoku/>
        <w:wordWrap/>
        <w:overflowPunct/>
        <w:topLinePunct w:val="0"/>
        <w:autoSpaceDE/>
        <w:autoSpaceDN/>
        <w:bidi w:val="0"/>
        <w:spacing w:line="360" w:lineRule="auto"/>
        <w:ind w:left="0" w:leftChars="0" w:firstLine="482"/>
        <w:jc w:val="center"/>
        <w:rPr>
          <w:rFonts w:hint="eastAsia" w:ascii="仿宋" w:hAnsi="仿宋" w:eastAsia="仿宋" w:cs="仿宋"/>
          <w:snapToGrid w:val="0"/>
          <w:kern w:val="0"/>
          <w:szCs w:val="21"/>
        </w:rPr>
      </w:pPr>
      <w:r>
        <w:rPr>
          <w:rFonts w:hint="eastAsia" w:ascii="仿宋" w:hAnsi="仿宋" w:eastAsia="仿宋" w:cs="仿宋"/>
          <w:snapToGrid w:val="0"/>
          <w:kern w:val="0"/>
          <w:szCs w:val="21"/>
        </w:rPr>
        <w:t>表3  材质价格差异比较（金额单位：人民币元）</w:t>
      </w:r>
    </w:p>
    <w:tbl>
      <w:tblPr>
        <w:tblStyle w:val="10"/>
        <w:tblW w:w="7219" w:type="dxa"/>
        <w:jc w:val="center"/>
        <w:tblInd w:w="13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7" w:type="dxa"/>
            <w:noWrap/>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序号</w:t>
            </w:r>
          </w:p>
        </w:tc>
        <w:tc>
          <w:tcPr>
            <w:tcW w:w="2130" w:type="dxa"/>
            <w:noWrap/>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钢结构材质</w:t>
            </w:r>
          </w:p>
        </w:tc>
        <w:tc>
          <w:tcPr>
            <w:tcW w:w="2131" w:type="dxa"/>
            <w:noWrap/>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材料价格（元）</w:t>
            </w:r>
          </w:p>
        </w:tc>
        <w:tc>
          <w:tcPr>
            <w:tcW w:w="2131" w:type="dxa"/>
            <w:noWrap/>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7" w:type="dxa"/>
            <w:noWrap/>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1</w:t>
            </w:r>
          </w:p>
        </w:tc>
        <w:tc>
          <w:tcPr>
            <w:tcW w:w="2130" w:type="dxa"/>
            <w:noWrap/>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Q235B</w:t>
            </w:r>
          </w:p>
        </w:tc>
        <w:tc>
          <w:tcPr>
            <w:tcW w:w="2131" w:type="dxa"/>
            <w:noWrap/>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4906.86</w:t>
            </w:r>
          </w:p>
        </w:tc>
        <w:tc>
          <w:tcPr>
            <w:tcW w:w="2131" w:type="dxa"/>
            <w:noWrap/>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7" w:type="dxa"/>
            <w:noWrap/>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2</w:t>
            </w:r>
          </w:p>
        </w:tc>
        <w:tc>
          <w:tcPr>
            <w:tcW w:w="2130" w:type="dxa"/>
            <w:noWrap/>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Q345B</w:t>
            </w:r>
          </w:p>
        </w:tc>
        <w:tc>
          <w:tcPr>
            <w:tcW w:w="2131" w:type="dxa"/>
            <w:noWrap/>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5057</w:t>
            </w:r>
          </w:p>
        </w:tc>
        <w:tc>
          <w:tcPr>
            <w:tcW w:w="2131" w:type="dxa"/>
            <w:noWrap/>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7" w:type="dxa"/>
            <w:noWrap/>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3</w:t>
            </w:r>
          </w:p>
        </w:tc>
        <w:tc>
          <w:tcPr>
            <w:tcW w:w="2130" w:type="dxa"/>
            <w:noWrap/>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价格差值</w:t>
            </w:r>
          </w:p>
        </w:tc>
        <w:tc>
          <w:tcPr>
            <w:tcW w:w="2131" w:type="dxa"/>
            <w:noWrap/>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150.14</w:t>
            </w:r>
          </w:p>
        </w:tc>
        <w:tc>
          <w:tcPr>
            <w:tcW w:w="2131" w:type="dxa"/>
            <w:noWrap/>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p>
        </w:tc>
      </w:tr>
    </w:tbl>
    <w:p>
      <w:pPr>
        <w:keepNext w:val="0"/>
        <w:keepLines w:val="0"/>
        <w:pageBreakBefore w:val="0"/>
        <w:kinsoku/>
        <w:wordWrap/>
        <w:overflowPunct/>
        <w:topLinePunct w:val="0"/>
        <w:autoSpaceDE/>
        <w:autoSpaceDN/>
        <w:bidi w:val="0"/>
        <w:spacing w:line="360" w:lineRule="auto"/>
        <w:ind w:left="0" w:leftChars="0" w:firstLine="240" w:firstLineChars="100"/>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说明：Q235B及Q345B材料价格按2017年1月~2018年9月平均价格计算。</w:t>
      </w:r>
    </w:p>
    <w:p>
      <w:pPr>
        <w:keepNext w:val="0"/>
        <w:keepLines w:val="0"/>
        <w:pageBreakBefore w:val="0"/>
        <w:kinsoku/>
        <w:wordWrap/>
        <w:overflowPunct/>
        <w:topLinePunct w:val="0"/>
        <w:autoSpaceDE/>
        <w:autoSpaceDN/>
        <w:bidi w:val="0"/>
        <w:spacing w:line="360" w:lineRule="auto"/>
        <w:ind w:left="0" w:leftChars="0" w:firstLine="482"/>
        <w:jc w:val="center"/>
        <w:rPr>
          <w:rFonts w:hint="eastAsia" w:ascii="仿宋" w:hAnsi="仿宋" w:eastAsia="仿宋" w:cs="仿宋"/>
          <w:snapToGrid w:val="0"/>
          <w:kern w:val="0"/>
          <w:szCs w:val="21"/>
        </w:rPr>
      </w:pPr>
      <w:r>
        <w:rPr>
          <w:rFonts w:hint="eastAsia" w:ascii="仿宋" w:hAnsi="仿宋" w:eastAsia="仿宋" w:cs="仿宋"/>
          <w:snapToGrid w:val="0"/>
          <w:kern w:val="0"/>
          <w:szCs w:val="21"/>
        </w:rPr>
        <w:t>表4  防腐做法价格差异比较（金额单位：人民币元）</w:t>
      </w:r>
    </w:p>
    <w:tbl>
      <w:tblPr>
        <w:tblStyle w:val="10"/>
        <w:tblW w:w="85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3589"/>
        <w:gridCol w:w="2105"/>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89"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序号</w:t>
            </w:r>
          </w:p>
        </w:tc>
        <w:tc>
          <w:tcPr>
            <w:tcW w:w="3589"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防腐做法</w:t>
            </w:r>
          </w:p>
        </w:tc>
        <w:tc>
          <w:tcPr>
            <w:tcW w:w="2105"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地方定额单价（元/㎡）</w:t>
            </w:r>
          </w:p>
        </w:tc>
        <w:tc>
          <w:tcPr>
            <w:tcW w:w="2127"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电力定额单价（元/t）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9"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1</w:t>
            </w:r>
          </w:p>
        </w:tc>
        <w:tc>
          <w:tcPr>
            <w:tcW w:w="3589"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防锈漆（底漆）、环氧云铁漆等（中间漆、面漆)，油漆厚度一般为150微米</w:t>
            </w:r>
          </w:p>
        </w:tc>
        <w:tc>
          <w:tcPr>
            <w:tcW w:w="2105"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78.93</w:t>
            </w:r>
          </w:p>
        </w:tc>
        <w:tc>
          <w:tcPr>
            <w:tcW w:w="2127"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2093.72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9"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2</w:t>
            </w:r>
          </w:p>
        </w:tc>
        <w:tc>
          <w:tcPr>
            <w:tcW w:w="3589"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环氧富锌底漆（底漆）、环氧云铁漆（中间漆）、丙烯酸聚氨酯面漆（面漆），油漆厚度不小于240微米</w:t>
            </w:r>
          </w:p>
        </w:tc>
        <w:tc>
          <w:tcPr>
            <w:tcW w:w="2105"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112.78</w:t>
            </w:r>
          </w:p>
        </w:tc>
        <w:tc>
          <w:tcPr>
            <w:tcW w:w="2127"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3027.61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9"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3</w:t>
            </w:r>
          </w:p>
        </w:tc>
        <w:tc>
          <w:tcPr>
            <w:tcW w:w="3589"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价格差值（元/㎡,按11.91㎡/t换算）</w:t>
            </w:r>
          </w:p>
        </w:tc>
        <w:tc>
          <w:tcPr>
            <w:tcW w:w="2105"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33.85</w:t>
            </w:r>
          </w:p>
        </w:tc>
        <w:tc>
          <w:tcPr>
            <w:tcW w:w="2127"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78.41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9"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4</w:t>
            </w:r>
          </w:p>
        </w:tc>
        <w:tc>
          <w:tcPr>
            <w:tcW w:w="3589"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价格差值（元/t，按11.91㎡/t换算）</w:t>
            </w:r>
          </w:p>
        </w:tc>
        <w:tc>
          <w:tcPr>
            <w:tcW w:w="2105"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403.15</w:t>
            </w:r>
          </w:p>
        </w:tc>
        <w:tc>
          <w:tcPr>
            <w:tcW w:w="2127"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napToGrid w:val="0"/>
                <w:kern w:val="0"/>
                <w:sz w:val="18"/>
                <w:szCs w:val="18"/>
              </w:rPr>
            </w:pPr>
            <w:r>
              <w:rPr>
                <w:rFonts w:hint="eastAsia" w:ascii="仿宋" w:hAnsi="仿宋" w:eastAsia="仿宋" w:cs="仿宋"/>
                <w:snapToGrid w:val="0"/>
                <w:kern w:val="0"/>
                <w:sz w:val="18"/>
                <w:szCs w:val="18"/>
              </w:rPr>
              <w:t>933.89</w:t>
            </w:r>
          </w:p>
        </w:tc>
      </w:tr>
    </w:tbl>
    <w:p>
      <w:pPr>
        <w:pStyle w:val="3"/>
        <w:keepNext w:val="0"/>
        <w:keepLines w:val="0"/>
        <w:pageBreakBefore w:val="0"/>
        <w:kinsoku/>
        <w:wordWrap/>
        <w:overflowPunct/>
        <w:topLinePunct w:val="0"/>
        <w:autoSpaceDE/>
        <w:autoSpaceDN/>
        <w:bidi w:val="0"/>
        <w:spacing w:line="360" w:lineRule="auto"/>
        <w:ind w:left="0" w:leftChars="0" w:firstLine="482" w:firstLineChars="200"/>
        <w:rPr>
          <w:rFonts w:hint="eastAsia" w:ascii="仿宋" w:hAnsi="仿宋" w:eastAsia="仿宋" w:cs="仿宋"/>
          <w:b/>
          <w:color w:val="000000"/>
          <w:sz w:val="24"/>
          <w:szCs w:val="24"/>
        </w:rPr>
      </w:pPr>
      <w:r>
        <w:rPr>
          <w:rFonts w:hint="eastAsia" w:ascii="仿宋" w:hAnsi="仿宋" w:eastAsia="仿宋" w:cs="仿宋"/>
          <w:b/>
          <w:color w:val="000000"/>
          <w:sz w:val="24"/>
          <w:szCs w:val="24"/>
        </w:rPr>
        <w:t>三、主体合同价格与分包价格、市场价格的对比</w:t>
      </w:r>
    </w:p>
    <w:p>
      <w:pPr>
        <w:keepNext w:val="0"/>
        <w:keepLines w:val="0"/>
        <w:pageBreakBefore w:val="0"/>
        <w:kinsoku/>
        <w:wordWrap/>
        <w:overflowPunct/>
        <w:topLinePunct w:val="0"/>
        <w:autoSpaceDE/>
        <w:autoSpaceDN/>
        <w:bidi w:val="0"/>
        <w:spacing w:line="360" w:lineRule="auto"/>
        <w:ind w:left="0" w:leftChars="0" w:firstLine="482"/>
        <w:rPr>
          <w:rFonts w:hint="eastAsia" w:ascii="仿宋" w:hAnsi="仿宋" w:eastAsia="仿宋" w:cs="仿宋"/>
          <w:snapToGrid w:val="0"/>
          <w:kern w:val="0"/>
          <w:sz w:val="24"/>
          <w:szCs w:val="24"/>
        </w:rPr>
      </w:pPr>
      <w:r>
        <w:rPr>
          <w:rFonts w:hint="eastAsia" w:ascii="仿宋" w:hAnsi="仿宋" w:eastAsia="仿宋" w:cs="仿宋"/>
          <w:snapToGrid w:val="0"/>
          <w:kern w:val="0"/>
          <w:sz w:val="24"/>
          <w:szCs w:val="24"/>
        </w:rPr>
        <w:t>由于某公司和某局钢结构工程的实际施工期都是在2018年9月至12月，因此从公平公正的角度，二者的钢结构都应遵循客观市场价格。而依据主体合同的约定仅调整型钢（槽钢，工字钢，角钢，钢管柱）的材料价差及材质的价差：</w:t>
      </w:r>
      <w:r>
        <w:rPr>
          <w:rFonts w:hint="eastAsia" w:ascii="仿宋" w:hAnsi="仿宋" w:eastAsia="仿宋" w:cs="仿宋"/>
          <w:sz w:val="24"/>
          <w:szCs w:val="24"/>
        </w:rPr>
        <w:t>795+150.14=945.14元/t</w:t>
      </w:r>
      <w:r>
        <w:rPr>
          <w:rFonts w:hint="eastAsia" w:ascii="仿宋" w:hAnsi="仿宋" w:eastAsia="仿宋" w:cs="仿宋"/>
          <w:snapToGrid w:val="0"/>
          <w:kern w:val="0"/>
          <w:sz w:val="24"/>
          <w:szCs w:val="24"/>
        </w:rPr>
        <w:t>是不足以弥补钢结构市场变化差额的。</w:t>
      </w:r>
    </w:p>
    <w:p>
      <w:pPr>
        <w:keepNext w:val="0"/>
        <w:keepLines w:val="0"/>
        <w:pageBreakBefore w:val="0"/>
        <w:kinsoku/>
        <w:wordWrap/>
        <w:overflowPunct/>
        <w:topLinePunct w:val="0"/>
        <w:autoSpaceDE/>
        <w:autoSpaceDN/>
        <w:bidi w:val="0"/>
        <w:spacing w:line="360" w:lineRule="auto"/>
        <w:ind w:left="0" w:leftChars="0" w:firstLine="482"/>
        <w:rPr>
          <w:rFonts w:hint="eastAsia" w:ascii="仿宋" w:hAnsi="仿宋" w:eastAsia="仿宋" w:cs="仿宋"/>
          <w:snapToGrid w:val="0"/>
          <w:kern w:val="0"/>
          <w:szCs w:val="21"/>
        </w:rPr>
      </w:pPr>
      <w:r>
        <w:rPr>
          <w:rFonts w:hint="eastAsia" w:ascii="仿宋" w:hAnsi="仿宋" w:eastAsia="仿宋" w:cs="仿宋"/>
          <w:snapToGrid w:val="0"/>
          <w:kern w:val="0"/>
          <w:sz w:val="24"/>
          <w:szCs w:val="24"/>
        </w:rPr>
        <w:t>为更直观的体现市场价格差异，现将某公司主体合同钢结构部分的价格及某公司的分包价格进行比较，详见表5。</w:t>
      </w:r>
    </w:p>
    <w:tbl>
      <w:tblPr>
        <w:tblStyle w:val="9"/>
        <w:tblW w:w="9215" w:type="dxa"/>
        <w:tblInd w:w="-269" w:type="dxa"/>
        <w:tblLayout w:type="fixed"/>
        <w:tblCellMar>
          <w:top w:w="15" w:type="dxa"/>
          <w:left w:w="15" w:type="dxa"/>
          <w:bottom w:w="15" w:type="dxa"/>
          <w:right w:w="15" w:type="dxa"/>
        </w:tblCellMar>
      </w:tblPr>
      <w:tblGrid>
        <w:gridCol w:w="493"/>
        <w:gridCol w:w="784"/>
        <w:gridCol w:w="850"/>
        <w:gridCol w:w="481"/>
        <w:gridCol w:w="407"/>
        <w:gridCol w:w="662"/>
        <w:gridCol w:w="1029"/>
        <w:gridCol w:w="482"/>
        <w:gridCol w:w="341"/>
        <w:gridCol w:w="851"/>
        <w:gridCol w:w="708"/>
        <w:gridCol w:w="851"/>
        <w:gridCol w:w="1276"/>
      </w:tblGrid>
      <w:tr>
        <w:tblPrEx>
          <w:tblLayout w:type="fixed"/>
          <w:tblCellMar>
            <w:top w:w="15" w:type="dxa"/>
            <w:left w:w="15" w:type="dxa"/>
            <w:bottom w:w="15" w:type="dxa"/>
            <w:right w:w="15" w:type="dxa"/>
          </w:tblCellMar>
        </w:tblPrEx>
        <w:trPr>
          <w:trHeight w:val="613" w:hRule="atLeast"/>
        </w:trPr>
        <w:tc>
          <w:tcPr>
            <w:tcW w:w="9215" w:type="dxa"/>
            <w:gridSpan w:val="13"/>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Cs w:val="21"/>
              </w:rPr>
            </w:pPr>
            <w:r>
              <w:rPr>
                <w:rFonts w:hint="eastAsia" w:ascii="仿宋" w:hAnsi="仿宋" w:eastAsia="仿宋" w:cs="仿宋"/>
                <w:snapToGrid w:val="0"/>
                <w:kern w:val="0"/>
                <w:szCs w:val="21"/>
              </w:rPr>
              <w:t>表5  分包工程量及单价-</w:t>
            </w:r>
            <w:r>
              <w:rPr>
                <w:rFonts w:hint="eastAsia" w:ascii="仿宋" w:hAnsi="仿宋" w:eastAsia="仿宋" w:cs="仿宋"/>
                <w:color w:val="000000"/>
                <w:kern w:val="0"/>
                <w:szCs w:val="21"/>
              </w:rPr>
              <w:t>钢结构合同价格比较</w:t>
            </w:r>
          </w:p>
        </w:tc>
      </w:tr>
      <w:tr>
        <w:tblPrEx>
          <w:tblLayout w:type="fixed"/>
          <w:tblCellMar>
            <w:top w:w="15" w:type="dxa"/>
            <w:left w:w="15" w:type="dxa"/>
            <w:bottom w:w="15" w:type="dxa"/>
            <w:right w:w="15" w:type="dxa"/>
          </w:tblCellMar>
        </w:tblPrEx>
        <w:trPr>
          <w:trHeight w:val="253" w:hRule="atLeast"/>
        </w:trPr>
        <w:tc>
          <w:tcPr>
            <w:tcW w:w="9215" w:type="dxa"/>
            <w:gridSpan w:val="13"/>
            <w:noWrap/>
            <w:vAlign w:val="center"/>
          </w:tcPr>
          <w:p>
            <w:pPr>
              <w:keepNext w:val="0"/>
              <w:keepLines w:val="0"/>
              <w:pageBreakBefore w:val="0"/>
              <w:widowControl/>
              <w:kinsoku/>
              <w:wordWrap/>
              <w:overflowPunct/>
              <w:topLinePunct w:val="0"/>
              <w:autoSpaceDE/>
              <w:autoSpaceDN/>
              <w:bidi w:val="0"/>
              <w:spacing w:line="360" w:lineRule="auto"/>
              <w:ind w:left="0" w:leftChars="0"/>
              <w:jc w:val="righ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金额单位：人民币元</w:t>
            </w:r>
          </w:p>
        </w:tc>
      </w:tr>
      <w:tr>
        <w:tblPrEx>
          <w:tblLayout w:type="fixed"/>
          <w:tblCellMar>
            <w:top w:w="15" w:type="dxa"/>
            <w:left w:w="15" w:type="dxa"/>
            <w:bottom w:w="15" w:type="dxa"/>
            <w:right w:w="15" w:type="dxa"/>
          </w:tblCellMar>
        </w:tblPrEx>
        <w:trPr>
          <w:trHeight w:val="660" w:hRule="atLeast"/>
        </w:trPr>
        <w:tc>
          <w:tcPr>
            <w:tcW w:w="49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序号</w:t>
            </w:r>
          </w:p>
        </w:tc>
        <w:tc>
          <w:tcPr>
            <w:tcW w:w="78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项目编码</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项目名称</w:t>
            </w:r>
          </w:p>
        </w:tc>
        <w:tc>
          <w:tcPr>
            <w:tcW w:w="2579"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签约合同价格</w:t>
            </w:r>
          </w:p>
        </w:tc>
        <w:tc>
          <w:tcPr>
            <w:tcW w:w="4509"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分包合同工程量及单价</w:t>
            </w:r>
          </w:p>
        </w:tc>
      </w:tr>
      <w:tr>
        <w:tblPrEx>
          <w:tblLayout w:type="fixed"/>
          <w:tblCellMar>
            <w:top w:w="15" w:type="dxa"/>
            <w:left w:w="15" w:type="dxa"/>
            <w:bottom w:w="15" w:type="dxa"/>
            <w:right w:w="15" w:type="dxa"/>
          </w:tblCellMar>
        </w:tblPrEx>
        <w:trPr>
          <w:trHeight w:val="660" w:hRule="atLeast"/>
        </w:trPr>
        <w:tc>
          <w:tcPr>
            <w:tcW w:w="49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78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4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计量单位</w:t>
            </w:r>
          </w:p>
        </w:tc>
        <w:tc>
          <w:tcPr>
            <w:tcW w:w="4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工程量</w:t>
            </w:r>
          </w:p>
        </w:tc>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综合单价①</w:t>
            </w:r>
          </w:p>
        </w:tc>
        <w:tc>
          <w:tcPr>
            <w:tcW w:w="10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综合合价②</w:t>
            </w:r>
          </w:p>
        </w:tc>
        <w:tc>
          <w:tcPr>
            <w:tcW w:w="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工程量</w:t>
            </w:r>
          </w:p>
        </w:tc>
        <w:tc>
          <w:tcPr>
            <w:tcW w:w="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单位</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制作费</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施工费</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综合单价③</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综合合价④</w:t>
            </w:r>
          </w:p>
        </w:tc>
      </w:tr>
      <w:tr>
        <w:tblPrEx>
          <w:tblLayout w:type="fixed"/>
          <w:tblCellMar>
            <w:top w:w="15" w:type="dxa"/>
            <w:left w:w="15" w:type="dxa"/>
            <w:bottom w:w="15" w:type="dxa"/>
            <w:right w:w="15" w:type="dxa"/>
          </w:tblCellMar>
        </w:tblPrEx>
        <w:trPr>
          <w:trHeight w:val="636"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FT0111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1.1.1.10 主厂房钢结构及钢筋</w:t>
            </w:r>
          </w:p>
        </w:tc>
        <w:tc>
          <w:tcPr>
            <w:tcW w:w="4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4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10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r>
      <w:tr>
        <w:tblPrEx>
          <w:tblLayout w:type="fixed"/>
          <w:tblCellMar>
            <w:top w:w="15" w:type="dxa"/>
            <w:left w:w="15" w:type="dxa"/>
            <w:bottom w:w="15" w:type="dxa"/>
            <w:right w:w="15" w:type="dxa"/>
          </w:tblCellMar>
        </w:tblPrEx>
        <w:trPr>
          <w:trHeight w:val="636"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48</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FT0111H13001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钢结构柱</w:t>
            </w:r>
          </w:p>
        </w:tc>
        <w:tc>
          <w:tcPr>
            <w:tcW w:w="4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t</w:t>
            </w:r>
          </w:p>
        </w:tc>
        <w:tc>
          <w:tcPr>
            <w:tcW w:w="4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1344 </w:t>
            </w:r>
          </w:p>
        </w:tc>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7934.31 </w:t>
            </w:r>
          </w:p>
        </w:tc>
        <w:tc>
          <w:tcPr>
            <w:tcW w:w="10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10663713.96 </w:t>
            </w:r>
          </w:p>
        </w:tc>
        <w:tc>
          <w:tcPr>
            <w:tcW w:w="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1144 </w:t>
            </w:r>
          </w:p>
        </w:tc>
        <w:tc>
          <w:tcPr>
            <w:tcW w:w="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t</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11009.46 </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3025.00 </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14034.46 </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16055422.24 </w:t>
            </w:r>
          </w:p>
        </w:tc>
      </w:tr>
      <w:tr>
        <w:tblPrEx>
          <w:tblLayout w:type="fixed"/>
          <w:tblCellMar>
            <w:top w:w="15" w:type="dxa"/>
            <w:left w:w="15" w:type="dxa"/>
            <w:bottom w:w="15" w:type="dxa"/>
            <w:right w:w="15" w:type="dxa"/>
          </w:tblCellMar>
        </w:tblPrEx>
        <w:trPr>
          <w:trHeight w:val="636"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49</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FT0111H14001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钢结构梁</w:t>
            </w:r>
          </w:p>
        </w:tc>
        <w:tc>
          <w:tcPr>
            <w:tcW w:w="4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t</w:t>
            </w:r>
          </w:p>
        </w:tc>
        <w:tc>
          <w:tcPr>
            <w:tcW w:w="4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1564 </w:t>
            </w:r>
          </w:p>
        </w:tc>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7923.63 </w:t>
            </w:r>
          </w:p>
        </w:tc>
        <w:tc>
          <w:tcPr>
            <w:tcW w:w="10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12392552.93 </w:t>
            </w:r>
          </w:p>
        </w:tc>
        <w:tc>
          <w:tcPr>
            <w:tcW w:w="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t</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7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0.00 </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0.00 </w:t>
            </w:r>
          </w:p>
        </w:tc>
      </w:tr>
      <w:tr>
        <w:tblPrEx>
          <w:tblLayout w:type="fixed"/>
          <w:tblCellMar>
            <w:top w:w="15" w:type="dxa"/>
            <w:left w:w="15" w:type="dxa"/>
            <w:bottom w:w="15" w:type="dxa"/>
            <w:right w:w="15" w:type="dxa"/>
          </w:tblCellMar>
        </w:tblPrEx>
        <w:trPr>
          <w:trHeight w:val="636"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53</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FT0111H16001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钢结构支撑、桁架</w:t>
            </w:r>
          </w:p>
        </w:tc>
        <w:tc>
          <w:tcPr>
            <w:tcW w:w="4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t</w:t>
            </w:r>
          </w:p>
        </w:tc>
        <w:tc>
          <w:tcPr>
            <w:tcW w:w="4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1991 </w:t>
            </w:r>
          </w:p>
        </w:tc>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7976.77 </w:t>
            </w:r>
          </w:p>
        </w:tc>
        <w:tc>
          <w:tcPr>
            <w:tcW w:w="10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15881748.96 </w:t>
            </w:r>
          </w:p>
        </w:tc>
        <w:tc>
          <w:tcPr>
            <w:tcW w:w="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1394 </w:t>
            </w:r>
          </w:p>
        </w:tc>
        <w:tc>
          <w:tcPr>
            <w:tcW w:w="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t</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10824.11 </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2117.50 </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12941.61 </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18040604.34 </w:t>
            </w:r>
          </w:p>
        </w:tc>
      </w:tr>
      <w:tr>
        <w:tblPrEx>
          <w:tblLayout w:type="fixed"/>
          <w:tblCellMar>
            <w:top w:w="15" w:type="dxa"/>
            <w:left w:w="15" w:type="dxa"/>
            <w:bottom w:w="15" w:type="dxa"/>
            <w:right w:w="15" w:type="dxa"/>
          </w:tblCellMar>
        </w:tblPrEx>
        <w:trPr>
          <w:trHeight w:val="645"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钢管屋架/桁架</w:t>
            </w:r>
          </w:p>
        </w:tc>
        <w:tc>
          <w:tcPr>
            <w:tcW w:w="4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t</w:t>
            </w:r>
          </w:p>
        </w:tc>
        <w:tc>
          <w:tcPr>
            <w:tcW w:w="4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10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597 </w:t>
            </w:r>
          </w:p>
        </w:tc>
        <w:tc>
          <w:tcPr>
            <w:tcW w:w="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t</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11160.71 </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2117.50 </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13278.21 </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7927091.37 </w:t>
            </w:r>
          </w:p>
        </w:tc>
      </w:tr>
      <w:tr>
        <w:tblPrEx>
          <w:tblLayout w:type="fixed"/>
          <w:tblCellMar>
            <w:top w:w="15" w:type="dxa"/>
            <w:left w:w="15" w:type="dxa"/>
            <w:bottom w:w="15" w:type="dxa"/>
            <w:right w:w="15" w:type="dxa"/>
          </w:tblCellMar>
        </w:tblPrEx>
        <w:trPr>
          <w:trHeight w:val="636"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54</w:t>
            </w: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FT0111H31001</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钢结构防火</w:t>
            </w:r>
          </w:p>
        </w:tc>
        <w:tc>
          <w:tcPr>
            <w:tcW w:w="4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t</w:t>
            </w:r>
          </w:p>
        </w:tc>
        <w:tc>
          <w:tcPr>
            <w:tcW w:w="4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4900 </w:t>
            </w:r>
          </w:p>
        </w:tc>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1522.50 </w:t>
            </w:r>
          </w:p>
        </w:tc>
        <w:tc>
          <w:tcPr>
            <w:tcW w:w="10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7460274.06 </w:t>
            </w:r>
          </w:p>
        </w:tc>
        <w:tc>
          <w:tcPr>
            <w:tcW w:w="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12152 </w:t>
            </w:r>
          </w:p>
        </w:tc>
        <w:tc>
          <w:tcPr>
            <w:tcW w:w="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93.06 </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93.06 </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1130865.12 </w:t>
            </w:r>
          </w:p>
        </w:tc>
      </w:tr>
      <w:tr>
        <w:tblPrEx>
          <w:tblLayout w:type="fixed"/>
          <w:tblCellMar>
            <w:top w:w="15" w:type="dxa"/>
            <w:left w:w="15" w:type="dxa"/>
            <w:bottom w:w="15" w:type="dxa"/>
            <w:right w:w="15" w:type="dxa"/>
          </w:tblCellMar>
        </w:tblPrEx>
        <w:trPr>
          <w:trHeight w:val="470"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4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4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10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12152 </w:t>
            </w:r>
          </w:p>
        </w:tc>
        <w:tc>
          <w:tcPr>
            <w:tcW w:w="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104.72 </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104.72 </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1272557.44 </w:t>
            </w:r>
          </w:p>
        </w:tc>
      </w:tr>
      <w:tr>
        <w:tblPrEx>
          <w:tblLayout w:type="fixed"/>
          <w:tblCellMar>
            <w:top w:w="15" w:type="dxa"/>
            <w:left w:w="15" w:type="dxa"/>
            <w:bottom w:w="15" w:type="dxa"/>
            <w:right w:w="15" w:type="dxa"/>
          </w:tblCellMar>
        </w:tblPrEx>
        <w:trPr>
          <w:trHeight w:val="534"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4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4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10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12152 </w:t>
            </w:r>
          </w:p>
        </w:tc>
        <w:tc>
          <w:tcPr>
            <w:tcW w:w="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w:t>
            </w:r>
          </w:p>
        </w:tc>
        <w:tc>
          <w:tcPr>
            <w:tcW w:w="8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151.36 </w:t>
            </w:r>
          </w:p>
        </w:tc>
        <w:tc>
          <w:tcPr>
            <w:tcW w:w="7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151.36 </w:t>
            </w: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1839326.72 </w:t>
            </w:r>
          </w:p>
        </w:tc>
      </w:tr>
      <w:tr>
        <w:tblPrEx>
          <w:tblLayout w:type="fixed"/>
          <w:tblCellMar>
            <w:top w:w="15" w:type="dxa"/>
            <w:left w:w="15" w:type="dxa"/>
            <w:bottom w:w="15" w:type="dxa"/>
            <w:right w:w="15" w:type="dxa"/>
          </w:tblCellMar>
        </w:tblPrEx>
        <w:trPr>
          <w:trHeight w:val="636" w:hRule="atLeast"/>
        </w:trPr>
        <w:tc>
          <w:tcPr>
            <w:tcW w:w="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360" w:lineRule="auto"/>
              <w:ind w:left="0" w:leftChars="0"/>
              <w:rPr>
                <w:rFonts w:hint="eastAsia" w:ascii="仿宋" w:hAnsi="仿宋" w:eastAsia="仿宋" w:cs="仿宋"/>
                <w:b/>
                <w:color w:val="FF0000"/>
                <w:sz w:val="18"/>
                <w:szCs w:val="18"/>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kinsoku/>
              <w:wordWrap/>
              <w:overflowPunct/>
              <w:topLinePunct w:val="0"/>
              <w:autoSpaceDE/>
              <w:autoSpaceDN/>
              <w:bidi w:val="0"/>
              <w:spacing w:line="360" w:lineRule="auto"/>
              <w:ind w:left="0" w:leftChars="0"/>
              <w:rPr>
                <w:rFonts w:hint="eastAsia" w:ascii="仿宋" w:hAnsi="仿宋" w:eastAsia="仿宋" w:cs="仿宋"/>
                <w:b/>
                <w:color w:val="FF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auto"/>
              <w:ind w:left="0" w:leftChars="0"/>
              <w:jc w:val="left"/>
              <w:textAlignment w:val="center"/>
              <w:rPr>
                <w:rFonts w:hint="eastAsia" w:ascii="仿宋" w:hAnsi="仿宋" w:eastAsia="仿宋" w:cs="仿宋"/>
                <w:b/>
                <w:sz w:val="18"/>
                <w:szCs w:val="18"/>
              </w:rPr>
            </w:pPr>
            <w:r>
              <w:rPr>
                <w:rFonts w:hint="eastAsia" w:ascii="仿宋" w:hAnsi="仿宋" w:eastAsia="仿宋" w:cs="仿宋"/>
                <w:b/>
                <w:kern w:val="0"/>
                <w:sz w:val="18"/>
                <w:szCs w:val="18"/>
              </w:rPr>
              <w:t>合计</w:t>
            </w:r>
          </w:p>
        </w:tc>
        <w:tc>
          <w:tcPr>
            <w:tcW w:w="481"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rPr>
                <w:rFonts w:hint="eastAsia" w:ascii="仿宋" w:hAnsi="仿宋" w:eastAsia="仿宋" w:cs="仿宋"/>
                <w:b/>
                <w:sz w:val="18"/>
                <w:szCs w:val="18"/>
              </w:rPr>
            </w:pPr>
          </w:p>
        </w:tc>
        <w:tc>
          <w:tcPr>
            <w:tcW w:w="40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rPr>
                <w:rFonts w:hint="eastAsia" w:ascii="仿宋" w:hAnsi="仿宋" w:eastAsia="仿宋" w:cs="仿宋"/>
                <w:b/>
                <w:sz w:val="18"/>
                <w:szCs w:val="18"/>
              </w:rPr>
            </w:pPr>
          </w:p>
        </w:tc>
        <w:tc>
          <w:tcPr>
            <w:tcW w:w="66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rPr>
                <w:rFonts w:hint="eastAsia" w:ascii="仿宋" w:hAnsi="仿宋" w:eastAsia="仿宋" w:cs="仿宋"/>
                <w:b/>
                <w:sz w:val="18"/>
                <w:szCs w:val="18"/>
              </w:rPr>
            </w:pPr>
          </w:p>
        </w:tc>
        <w:tc>
          <w:tcPr>
            <w:tcW w:w="102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left"/>
              <w:textAlignment w:val="center"/>
              <w:rPr>
                <w:rFonts w:hint="eastAsia" w:ascii="仿宋" w:hAnsi="仿宋" w:eastAsia="仿宋" w:cs="仿宋"/>
                <w:b/>
                <w:sz w:val="18"/>
                <w:szCs w:val="18"/>
              </w:rPr>
            </w:pPr>
            <w:r>
              <w:rPr>
                <w:rFonts w:hint="eastAsia" w:ascii="仿宋" w:hAnsi="仿宋" w:eastAsia="仿宋" w:cs="仿宋"/>
                <w:b/>
                <w:kern w:val="0"/>
                <w:sz w:val="18"/>
                <w:szCs w:val="18"/>
              </w:rPr>
              <w:t>46398289.91</w:t>
            </w:r>
          </w:p>
        </w:tc>
        <w:tc>
          <w:tcPr>
            <w:tcW w:w="4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rPr>
                <w:rFonts w:hint="eastAsia" w:ascii="仿宋" w:hAnsi="仿宋" w:eastAsia="仿宋" w:cs="仿宋"/>
                <w:b/>
                <w:sz w:val="18"/>
                <w:szCs w:val="18"/>
              </w:rPr>
            </w:pPr>
          </w:p>
        </w:tc>
        <w:tc>
          <w:tcPr>
            <w:tcW w:w="3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rPr>
                <w:rFonts w:hint="eastAsia" w:ascii="仿宋" w:hAnsi="仿宋" w:eastAsia="仿宋" w:cs="仿宋"/>
                <w:b/>
                <w:sz w:val="18"/>
                <w:szCs w:val="18"/>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rPr>
                <w:rFonts w:hint="eastAsia" w:ascii="仿宋" w:hAnsi="仿宋" w:eastAsia="仿宋" w:cs="仿宋"/>
                <w:b/>
                <w:sz w:val="18"/>
                <w:szCs w:val="18"/>
              </w:rPr>
            </w:pPr>
          </w:p>
        </w:tc>
        <w:tc>
          <w:tcPr>
            <w:tcW w:w="70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rPr>
                <w:rFonts w:hint="eastAsia" w:ascii="仿宋" w:hAnsi="仿宋" w:eastAsia="仿宋" w:cs="仿宋"/>
                <w:b/>
                <w:sz w:val="18"/>
                <w:szCs w:val="18"/>
              </w:rPr>
            </w:pPr>
          </w:p>
        </w:tc>
        <w:tc>
          <w:tcPr>
            <w:tcW w:w="8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rPr>
                <w:rFonts w:hint="eastAsia" w:ascii="仿宋" w:hAnsi="仿宋" w:eastAsia="仿宋" w:cs="仿宋"/>
                <w:b/>
                <w:sz w:val="18"/>
                <w:szCs w:val="18"/>
              </w:rPr>
            </w:pPr>
          </w:p>
        </w:tc>
        <w:tc>
          <w:tcPr>
            <w:tcW w:w="127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left"/>
              <w:textAlignment w:val="center"/>
              <w:rPr>
                <w:rFonts w:hint="eastAsia" w:ascii="仿宋" w:hAnsi="仿宋" w:eastAsia="仿宋" w:cs="仿宋"/>
                <w:b/>
                <w:sz w:val="18"/>
                <w:szCs w:val="18"/>
              </w:rPr>
            </w:pPr>
            <w:r>
              <w:rPr>
                <w:rFonts w:hint="eastAsia" w:ascii="仿宋" w:hAnsi="仿宋" w:eastAsia="仿宋" w:cs="仿宋"/>
                <w:b/>
                <w:kern w:val="0"/>
                <w:sz w:val="18"/>
                <w:szCs w:val="18"/>
              </w:rPr>
              <w:t>46265867.23</w:t>
            </w:r>
          </w:p>
        </w:tc>
      </w:tr>
    </w:tbl>
    <w:p>
      <w:pPr>
        <w:keepNext w:val="0"/>
        <w:keepLines w:val="0"/>
        <w:pageBreakBefore w:val="0"/>
        <w:kinsoku/>
        <w:wordWrap/>
        <w:overflowPunct/>
        <w:topLinePunct w:val="0"/>
        <w:autoSpaceDE/>
        <w:autoSpaceDN/>
        <w:bidi w:val="0"/>
        <w:spacing w:line="360" w:lineRule="auto"/>
        <w:ind w:left="0" w:leftChars="0" w:firstLine="482"/>
        <w:rPr>
          <w:rFonts w:hint="eastAsia" w:ascii="仿宋" w:hAnsi="仿宋" w:eastAsia="仿宋" w:cs="仿宋"/>
          <w:sz w:val="24"/>
          <w:szCs w:val="24"/>
        </w:rPr>
      </w:pPr>
      <w:r>
        <w:rPr>
          <w:rFonts w:hint="eastAsia" w:ascii="仿宋" w:hAnsi="仿宋" w:eastAsia="仿宋" w:cs="仿宋"/>
          <w:sz w:val="24"/>
          <w:szCs w:val="24"/>
        </w:rPr>
        <w:t>特殊说明：某公司主体合同中钢结构柱、钢结构梁及桁架的工程量是4899t，合价是46398289元；分包合同中钢结构柱、钢结构梁及桁架的工程量是3135t，合价是46265867元。工程量差异的原因是主体合同钢结构的合价相当于分包招标的招标上限价，而只有减少工程量才能保证总价不超，并不代表实际工程量只有3135t。上表中钢结构防火分别是按1h/1.5h/2.5h按㎡进行分包招标的。为便于比较，现按6500t（预估结算工程量）钢结构总量以分包单价进行测算，详见表6。按6500t钢结构总量以某局单价进行测算，详见表7。</w:t>
      </w:r>
    </w:p>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Cs w:val="21"/>
        </w:rPr>
      </w:pPr>
      <w:r>
        <w:rPr>
          <w:rFonts w:hint="eastAsia" w:ascii="仿宋" w:hAnsi="仿宋" w:eastAsia="仿宋" w:cs="仿宋"/>
          <w:szCs w:val="21"/>
        </w:rPr>
        <w:t>表6  6500T总量及分包单价-</w:t>
      </w:r>
      <w:r>
        <w:rPr>
          <w:rFonts w:hint="eastAsia" w:ascii="仿宋" w:hAnsi="仿宋" w:eastAsia="仿宋" w:cs="仿宋"/>
          <w:color w:val="000000"/>
          <w:kern w:val="0"/>
          <w:szCs w:val="21"/>
        </w:rPr>
        <w:t>钢结构合同价格比较</w:t>
      </w:r>
    </w:p>
    <w:tbl>
      <w:tblPr>
        <w:tblStyle w:val="9"/>
        <w:tblW w:w="10131" w:type="dxa"/>
        <w:jc w:val="center"/>
        <w:tblInd w:w="-1082" w:type="dxa"/>
        <w:shd w:val="clear" w:color="auto" w:fill="FFFFFF"/>
        <w:tblLayout w:type="fixed"/>
        <w:tblCellMar>
          <w:top w:w="15" w:type="dxa"/>
          <w:left w:w="15" w:type="dxa"/>
          <w:bottom w:w="15" w:type="dxa"/>
          <w:right w:w="15" w:type="dxa"/>
        </w:tblCellMar>
      </w:tblPr>
      <w:tblGrid>
        <w:gridCol w:w="425"/>
        <w:gridCol w:w="568"/>
        <w:gridCol w:w="814"/>
        <w:gridCol w:w="567"/>
        <w:gridCol w:w="567"/>
        <w:gridCol w:w="787"/>
        <w:gridCol w:w="1134"/>
        <w:gridCol w:w="634"/>
        <w:gridCol w:w="194"/>
        <w:gridCol w:w="732"/>
        <w:gridCol w:w="992"/>
        <w:gridCol w:w="850"/>
        <w:gridCol w:w="1158"/>
        <w:gridCol w:w="709"/>
      </w:tblGrid>
      <w:tr>
        <w:tblPrEx>
          <w:shd w:val="clear" w:color="auto" w:fill="FFFFFF"/>
          <w:tblLayout w:type="fixed"/>
          <w:tblCellMar>
            <w:top w:w="15" w:type="dxa"/>
            <w:left w:w="15" w:type="dxa"/>
            <w:bottom w:w="15" w:type="dxa"/>
            <w:right w:w="15" w:type="dxa"/>
          </w:tblCellMar>
        </w:tblPrEx>
        <w:trPr>
          <w:trHeight w:val="253" w:hRule="atLeast"/>
          <w:jc w:val="center"/>
        </w:trPr>
        <w:tc>
          <w:tcPr>
            <w:tcW w:w="10131" w:type="dxa"/>
            <w:gridSpan w:val="14"/>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righ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金额单位：人民币元</w:t>
            </w:r>
          </w:p>
        </w:tc>
      </w:tr>
      <w:tr>
        <w:tblPrEx>
          <w:shd w:val="clear" w:color="auto" w:fill="FFFFFF"/>
          <w:tblLayout w:type="fixed"/>
          <w:tblCellMar>
            <w:top w:w="15" w:type="dxa"/>
            <w:left w:w="15" w:type="dxa"/>
            <w:bottom w:w="15" w:type="dxa"/>
            <w:right w:w="15" w:type="dxa"/>
          </w:tblCellMar>
        </w:tblPrEx>
        <w:trPr>
          <w:trHeight w:val="660" w:hRule="atLeast"/>
          <w:jc w:val="center"/>
        </w:trPr>
        <w:tc>
          <w:tcPr>
            <w:tcW w:w="425"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序号</w:t>
            </w:r>
          </w:p>
        </w:tc>
        <w:tc>
          <w:tcPr>
            <w:tcW w:w="568"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项目编码</w:t>
            </w:r>
          </w:p>
        </w:tc>
        <w:tc>
          <w:tcPr>
            <w:tcW w:w="814"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项目名称</w:t>
            </w:r>
          </w:p>
        </w:tc>
        <w:tc>
          <w:tcPr>
            <w:tcW w:w="3055" w:type="dxa"/>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签约合同价格</w:t>
            </w:r>
          </w:p>
        </w:tc>
        <w:tc>
          <w:tcPr>
            <w:tcW w:w="5269" w:type="dxa"/>
            <w:gridSpan w:val="7"/>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分包合同单价</w:t>
            </w:r>
          </w:p>
        </w:tc>
      </w:tr>
      <w:tr>
        <w:tblPrEx>
          <w:shd w:val="clear" w:color="auto" w:fill="FFFFFF"/>
          <w:tblLayout w:type="fixed"/>
          <w:tblCellMar>
            <w:top w:w="15" w:type="dxa"/>
            <w:left w:w="15" w:type="dxa"/>
            <w:bottom w:w="15" w:type="dxa"/>
            <w:right w:w="15" w:type="dxa"/>
          </w:tblCellMar>
        </w:tblPrEx>
        <w:trPr>
          <w:trHeight w:val="660" w:hRule="atLeast"/>
          <w:jc w:val="center"/>
        </w:trPr>
        <w:tc>
          <w:tcPr>
            <w:tcW w:w="425"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56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814"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计量单位</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工程量</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综合单价①</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综合合价②</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工程量</w:t>
            </w:r>
          </w:p>
        </w:tc>
        <w:tc>
          <w:tcPr>
            <w:tcW w:w="1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单位</w:t>
            </w:r>
          </w:p>
        </w:tc>
        <w:tc>
          <w:tcPr>
            <w:tcW w:w="7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综合单价⑦</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综合合价⑧</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单价差异（⑦-①）</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合价差异（⑧-②）</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备注</w:t>
            </w:r>
          </w:p>
        </w:tc>
      </w:tr>
      <w:tr>
        <w:tblPrEx>
          <w:shd w:val="clear" w:color="auto" w:fill="FFFFFF"/>
          <w:tblLayout w:type="fixed"/>
          <w:tblCellMar>
            <w:top w:w="15" w:type="dxa"/>
            <w:left w:w="15" w:type="dxa"/>
            <w:bottom w:w="15" w:type="dxa"/>
            <w:right w:w="15" w:type="dxa"/>
          </w:tblCellMar>
        </w:tblPrEx>
        <w:trPr>
          <w:trHeight w:val="636"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5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FT0111</w:t>
            </w:r>
          </w:p>
        </w:tc>
        <w:tc>
          <w:tcPr>
            <w:tcW w:w="8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1.1.1.10 主厂房钢结构及钢筋</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1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7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r>
      <w:tr>
        <w:tblPrEx>
          <w:shd w:val="clear" w:color="auto" w:fill="FFFFFF"/>
          <w:tblLayout w:type="fixed"/>
          <w:tblCellMar>
            <w:top w:w="15" w:type="dxa"/>
            <w:left w:w="15" w:type="dxa"/>
            <w:bottom w:w="15" w:type="dxa"/>
            <w:right w:w="15" w:type="dxa"/>
          </w:tblCellMar>
        </w:tblPrEx>
        <w:trPr>
          <w:trHeight w:val="636"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48</w:t>
            </w:r>
          </w:p>
        </w:tc>
        <w:tc>
          <w:tcPr>
            <w:tcW w:w="5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FT0111H13001</w:t>
            </w:r>
          </w:p>
        </w:tc>
        <w:tc>
          <w:tcPr>
            <w:tcW w:w="8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钢结构柱</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t</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1783</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7934.31</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14148615.69</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1783</w:t>
            </w:r>
          </w:p>
        </w:tc>
        <w:tc>
          <w:tcPr>
            <w:tcW w:w="1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t</w:t>
            </w:r>
          </w:p>
        </w:tc>
        <w:tc>
          <w:tcPr>
            <w:tcW w:w="7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14034.46</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25026518.53</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6100.15</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10877902.85</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r>
      <w:tr>
        <w:tblPrEx>
          <w:shd w:val="clear" w:color="auto" w:fill="FFFFFF"/>
          <w:tblLayout w:type="fixed"/>
          <w:tblCellMar>
            <w:top w:w="15" w:type="dxa"/>
            <w:left w:w="15" w:type="dxa"/>
            <w:bottom w:w="15" w:type="dxa"/>
            <w:right w:w="15" w:type="dxa"/>
          </w:tblCellMar>
        </w:tblPrEx>
        <w:trPr>
          <w:trHeight w:val="636"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49</w:t>
            </w:r>
          </w:p>
        </w:tc>
        <w:tc>
          <w:tcPr>
            <w:tcW w:w="5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FT0111H14001</w:t>
            </w:r>
          </w:p>
        </w:tc>
        <w:tc>
          <w:tcPr>
            <w:tcW w:w="8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钢结构梁</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t</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2075</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7923.63</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16442439.22</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2075</w:t>
            </w:r>
          </w:p>
        </w:tc>
        <w:tc>
          <w:tcPr>
            <w:tcW w:w="1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t</w:t>
            </w:r>
          </w:p>
        </w:tc>
        <w:tc>
          <w:tcPr>
            <w:tcW w:w="7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12941.61</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26855331.62</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5017.98</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10412892.4</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分包合同无此项，拟参桁架1价格</w:t>
            </w:r>
          </w:p>
        </w:tc>
      </w:tr>
      <w:tr>
        <w:tblPrEx>
          <w:shd w:val="clear" w:color="auto" w:fill="FFFFFF"/>
          <w:tblLayout w:type="fixed"/>
          <w:tblCellMar>
            <w:top w:w="15" w:type="dxa"/>
            <w:left w:w="15" w:type="dxa"/>
            <w:bottom w:w="15" w:type="dxa"/>
            <w:right w:w="15" w:type="dxa"/>
          </w:tblCellMar>
        </w:tblPrEx>
        <w:trPr>
          <w:trHeight w:val="636"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53</w:t>
            </w:r>
          </w:p>
        </w:tc>
        <w:tc>
          <w:tcPr>
            <w:tcW w:w="5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FT0111H16001</w:t>
            </w:r>
          </w:p>
        </w:tc>
        <w:tc>
          <w:tcPr>
            <w:tcW w:w="8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钢结构支撑、桁架</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t</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2642</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7976.77</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21071904.52</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1850</w:t>
            </w:r>
          </w:p>
        </w:tc>
        <w:tc>
          <w:tcPr>
            <w:tcW w:w="1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t</w:t>
            </w:r>
          </w:p>
        </w:tc>
        <w:tc>
          <w:tcPr>
            <w:tcW w:w="7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12941.61</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23936273.84</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4964.84</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2864369.32</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r>
      <w:tr>
        <w:tblPrEx>
          <w:shd w:val="clear" w:color="auto" w:fill="FFFFFF"/>
          <w:tblLayout w:type="fixed"/>
          <w:tblCellMar>
            <w:top w:w="15" w:type="dxa"/>
            <w:left w:w="15" w:type="dxa"/>
            <w:bottom w:w="15" w:type="dxa"/>
            <w:right w:w="15" w:type="dxa"/>
          </w:tblCellMar>
        </w:tblPrEx>
        <w:trPr>
          <w:trHeight w:val="636"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5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钢管屋架/桁架</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t</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792</w:t>
            </w:r>
          </w:p>
        </w:tc>
        <w:tc>
          <w:tcPr>
            <w:tcW w:w="1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t</w:t>
            </w:r>
          </w:p>
        </w:tc>
        <w:tc>
          <w:tcPr>
            <w:tcW w:w="7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13278.21</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10517664.83</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13278.21</w:t>
            </w: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10517664.83</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r>
      <w:tr>
        <w:tblPrEx>
          <w:shd w:val="clear" w:color="auto" w:fill="FFFFFF"/>
          <w:tblLayout w:type="fixed"/>
          <w:tblCellMar>
            <w:top w:w="15" w:type="dxa"/>
            <w:left w:w="15" w:type="dxa"/>
            <w:bottom w:w="15" w:type="dxa"/>
            <w:right w:w="15" w:type="dxa"/>
          </w:tblCellMar>
        </w:tblPrEx>
        <w:trPr>
          <w:trHeight w:val="636"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54</w:t>
            </w:r>
          </w:p>
        </w:tc>
        <w:tc>
          <w:tcPr>
            <w:tcW w:w="5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FT0111H31001</w:t>
            </w:r>
          </w:p>
        </w:tc>
        <w:tc>
          <w:tcPr>
            <w:tcW w:w="8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钢结构防火</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t</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6500</w:t>
            </w: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1522.50</w:t>
            </w: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9896281.92</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25805</w:t>
            </w:r>
          </w:p>
        </w:tc>
        <w:tc>
          <w:tcPr>
            <w:tcW w:w="1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w:t>
            </w:r>
          </w:p>
        </w:tc>
        <w:tc>
          <w:tcPr>
            <w:tcW w:w="7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93.06</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2401413.3</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1158"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-886724.215</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工程量按11.91㎡/t换算</w:t>
            </w:r>
          </w:p>
        </w:tc>
      </w:tr>
      <w:tr>
        <w:tblPrEx>
          <w:shd w:val="clear" w:color="auto" w:fill="FFFFFF"/>
          <w:tblLayout w:type="fixed"/>
          <w:tblCellMar>
            <w:top w:w="15" w:type="dxa"/>
            <w:left w:w="15" w:type="dxa"/>
            <w:bottom w:w="15" w:type="dxa"/>
            <w:right w:w="15" w:type="dxa"/>
          </w:tblCellMar>
        </w:tblPrEx>
        <w:trPr>
          <w:trHeight w:val="382"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5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25805</w:t>
            </w:r>
          </w:p>
        </w:tc>
        <w:tc>
          <w:tcPr>
            <w:tcW w:w="1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w:t>
            </w:r>
          </w:p>
        </w:tc>
        <w:tc>
          <w:tcPr>
            <w:tcW w:w="7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104.72</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2702299.6</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r>
      <w:tr>
        <w:tblPrEx>
          <w:shd w:val="clear" w:color="auto" w:fill="FFFFFF"/>
          <w:tblLayout w:type="fixed"/>
          <w:tblCellMar>
            <w:top w:w="15" w:type="dxa"/>
            <w:left w:w="15" w:type="dxa"/>
            <w:bottom w:w="15" w:type="dxa"/>
            <w:right w:w="15" w:type="dxa"/>
          </w:tblCellMar>
        </w:tblPrEx>
        <w:trPr>
          <w:trHeight w:val="636"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5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25805</w:t>
            </w:r>
          </w:p>
        </w:tc>
        <w:tc>
          <w:tcPr>
            <w:tcW w:w="1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w:t>
            </w:r>
          </w:p>
        </w:tc>
        <w:tc>
          <w:tcPr>
            <w:tcW w:w="7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151.36</w:t>
            </w: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3905844.8</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709" w:type="dxa"/>
            <w:tcBorders>
              <w:top w:val="single" w:color="000000" w:sz="4" w:space="0"/>
              <w:left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r>
      <w:tr>
        <w:tblPrEx>
          <w:shd w:val="clear" w:color="auto" w:fill="FFFFFF"/>
          <w:tblLayout w:type="fixed"/>
          <w:tblCellMar>
            <w:top w:w="15" w:type="dxa"/>
            <w:left w:w="15" w:type="dxa"/>
            <w:bottom w:w="15" w:type="dxa"/>
            <w:right w:w="15" w:type="dxa"/>
          </w:tblCellMar>
        </w:tblPrEx>
        <w:trPr>
          <w:trHeight w:val="636" w:hRule="atLeast"/>
          <w:jc w:val="center"/>
        </w:trPr>
        <w:tc>
          <w:tcPr>
            <w:tcW w:w="425"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b/>
                <w:color w:val="FF0000"/>
                <w:sz w:val="18"/>
                <w:szCs w:val="18"/>
              </w:rPr>
            </w:pPr>
          </w:p>
        </w:tc>
        <w:tc>
          <w:tcPr>
            <w:tcW w:w="56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b/>
                <w:sz w:val="18"/>
                <w:szCs w:val="18"/>
              </w:rPr>
            </w:pPr>
          </w:p>
        </w:tc>
        <w:tc>
          <w:tcPr>
            <w:tcW w:w="81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b/>
                <w:sz w:val="18"/>
                <w:szCs w:val="18"/>
              </w:rPr>
            </w:pPr>
            <w:r>
              <w:rPr>
                <w:rFonts w:hint="eastAsia" w:ascii="仿宋" w:hAnsi="仿宋" w:eastAsia="仿宋" w:cs="仿宋"/>
                <w:b/>
                <w:kern w:val="0"/>
                <w:sz w:val="18"/>
                <w:szCs w:val="18"/>
              </w:rPr>
              <w:t>合计</w:t>
            </w: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b/>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b/>
                <w:sz w:val="18"/>
                <w:szCs w:val="18"/>
              </w:rPr>
            </w:pPr>
          </w:p>
        </w:tc>
        <w:tc>
          <w:tcPr>
            <w:tcW w:w="787"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b/>
                <w:sz w:val="18"/>
                <w:szCs w:val="18"/>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b/>
                <w:sz w:val="18"/>
                <w:szCs w:val="18"/>
              </w:rPr>
            </w:pPr>
            <w:r>
              <w:rPr>
                <w:rFonts w:hint="eastAsia" w:ascii="仿宋" w:hAnsi="仿宋" w:eastAsia="仿宋" w:cs="仿宋"/>
                <w:b/>
                <w:color w:val="000000"/>
                <w:kern w:val="0"/>
                <w:sz w:val="18"/>
                <w:szCs w:val="18"/>
              </w:rPr>
              <w:t>61559241.34</w:t>
            </w:r>
          </w:p>
        </w:tc>
        <w:tc>
          <w:tcPr>
            <w:tcW w:w="63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b/>
                <w:sz w:val="18"/>
                <w:szCs w:val="18"/>
              </w:rPr>
            </w:pPr>
          </w:p>
        </w:tc>
        <w:tc>
          <w:tcPr>
            <w:tcW w:w="194"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b/>
                <w:sz w:val="18"/>
                <w:szCs w:val="18"/>
              </w:rPr>
            </w:pPr>
          </w:p>
        </w:tc>
        <w:tc>
          <w:tcPr>
            <w:tcW w:w="73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b/>
                <w:sz w:val="18"/>
                <w:szCs w:val="18"/>
              </w:rPr>
            </w:pPr>
          </w:p>
        </w:tc>
        <w:tc>
          <w:tcPr>
            <w:tcW w:w="992"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b/>
                <w:sz w:val="18"/>
                <w:szCs w:val="18"/>
              </w:rPr>
            </w:pPr>
            <w:r>
              <w:rPr>
                <w:rFonts w:hint="eastAsia" w:ascii="仿宋" w:hAnsi="仿宋" w:eastAsia="仿宋" w:cs="仿宋"/>
                <w:b/>
                <w:color w:val="000000"/>
                <w:kern w:val="0"/>
                <w:sz w:val="18"/>
                <w:szCs w:val="18"/>
              </w:rPr>
              <w:t>95345346.53</w:t>
            </w:r>
          </w:p>
        </w:tc>
        <w:tc>
          <w:tcPr>
            <w:tcW w:w="850"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b/>
                <w:sz w:val="18"/>
                <w:szCs w:val="18"/>
              </w:rPr>
            </w:pPr>
          </w:p>
        </w:tc>
        <w:tc>
          <w:tcPr>
            <w:tcW w:w="1158"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b/>
                <w:sz w:val="18"/>
                <w:szCs w:val="18"/>
              </w:rPr>
            </w:pPr>
            <w:r>
              <w:rPr>
                <w:rFonts w:hint="eastAsia" w:ascii="仿宋" w:hAnsi="仿宋" w:eastAsia="仿宋" w:cs="仿宋"/>
                <w:b/>
                <w:color w:val="000000"/>
                <w:kern w:val="0"/>
                <w:sz w:val="18"/>
                <w:szCs w:val="18"/>
              </w:rPr>
              <w:t>33786105.18</w:t>
            </w:r>
          </w:p>
        </w:tc>
        <w:tc>
          <w:tcPr>
            <w:tcW w:w="709" w:type="dxa"/>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b/>
                <w:sz w:val="18"/>
                <w:szCs w:val="18"/>
              </w:rPr>
            </w:pPr>
          </w:p>
        </w:tc>
      </w:tr>
    </w:tbl>
    <w:p>
      <w:pPr>
        <w:keepNext w:val="0"/>
        <w:keepLines w:val="0"/>
        <w:pageBreakBefore w:val="0"/>
        <w:kinsoku/>
        <w:wordWrap/>
        <w:overflowPunct/>
        <w:topLinePunct w:val="0"/>
        <w:autoSpaceDE/>
        <w:autoSpaceDN/>
        <w:bidi w:val="0"/>
        <w:spacing w:line="360" w:lineRule="auto"/>
        <w:ind w:left="0" w:leftChars="0" w:firstLine="240" w:firstLineChars="100"/>
        <w:rPr>
          <w:rFonts w:hint="eastAsia" w:ascii="仿宋" w:hAnsi="仿宋" w:eastAsia="仿宋" w:cs="仿宋"/>
          <w:sz w:val="24"/>
          <w:szCs w:val="24"/>
        </w:rPr>
      </w:pPr>
      <w:r>
        <w:rPr>
          <w:rFonts w:hint="eastAsia" w:ascii="仿宋" w:hAnsi="仿宋" w:eastAsia="仿宋" w:cs="仿宋"/>
          <w:sz w:val="24"/>
          <w:szCs w:val="24"/>
        </w:rPr>
        <w:t>从表6可见，在同等工程量的条件下，主体合同与分包合同的总价差异为33786105元。</w:t>
      </w:r>
    </w:p>
    <w:p>
      <w:pPr>
        <w:keepNext w:val="0"/>
        <w:keepLines w:val="0"/>
        <w:pageBreakBefore w:val="0"/>
        <w:kinsoku/>
        <w:wordWrap/>
        <w:overflowPunct/>
        <w:topLinePunct w:val="0"/>
        <w:autoSpaceDE/>
        <w:autoSpaceDN/>
        <w:bidi w:val="0"/>
        <w:spacing w:line="360" w:lineRule="auto"/>
        <w:ind w:left="0" w:leftChars="0" w:firstLine="480"/>
        <w:jc w:val="center"/>
        <w:rPr>
          <w:rFonts w:hint="eastAsia" w:ascii="仿宋" w:hAnsi="仿宋" w:eastAsia="仿宋" w:cs="仿宋"/>
          <w:color w:val="000000"/>
          <w:kern w:val="0"/>
          <w:szCs w:val="21"/>
        </w:rPr>
      </w:pPr>
      <w:r>
        <w:rPr>
          <w:rFonts w:hint="eastAsia" w:ascii="仿宋" w:hAnsi="仿宋" w:eastAsia="仿宋" w:cs="仿宋"/>
          <w:szCs w:val="21"/>
        </w:rPr>
        <w:t>表7  6500T总量及某局合同单价-</w:t>
      </w:r>
      <w:r>
        <w:rPr>
          <w:rFonts w:hint="eastAsia" w:ascii="仿宋" w:hAnsi="仿宋" w:eastAsia="仿宋" w:cs="仿宋"/>
          <w:color w:val="000000"/>
          <w:kern w:val="0"/>
          <w:szCs w:val="21"/>
        </w:rPr>
        <w:t>钢结构合同价格比较</w:t>
      </w:r>
    </w:p>
    <w:p>
      <w:pPr>
        <w:keepNext w:val="0"/>
        <w:keepLines w:val="0"/>
        <w:pageBreakBefore w:val="0"/>
        <w:kinsoku/>
        <w:wordWrap/>
        <w:overflowPunct/>
        <w:topLinePunct w:val="0"/>
        <w:autoSpaceDE/>
        <w:autoSpaceDN/>
        <w:bidi w:val="0"/>
        <w:spacing w:line="360" w:lineRule="auto"/>
        <w:ind w:left="0" w:leftChars="0" w:firstLine="480"/>
        <w:jc w:val="right"/>
        <w:rPr>
          <w:rFonts w:hint="eastAsia" w:ascii="仿宋" w:hAnsi="仿宋" w:eastAsia="仿宋" w:cs="仿宋"/>
          <w:sz w:val="18"/>
          <w:szCs w:val="18"/>
        </w:rPr>
      </w:pPr>
      <w:r>
        <w:rPr>
          <w:rFonts w:hint="eastAsia" w:ascii="仿宋" w:hAnsi="仿宋" w:eastAsia="仿宋" w:cs="仿宋"/>
          <w:color w:val="000000"/>
          <w:kern w:val="0"/>
          <w:sz w:val="18"/>
          <w:szCs w:val="18"/>
        </w:rPr>
        <w:t>金额单位：人民币元</w:t>
      </w:r>
    </w:p>
    <w:tbl>
      <w:tblPr>
        <w:tblStyle w:val="9"/>
        <w:tblW w:w="8786" w:type="dxa"/>
        <w:jc w:val="center"/>
        <w:tblInd w:w="0" w:type="dxa"/>
        <w:tblLayout w:type="fixed"/>
        <w:tblCellMar>
          <w:top w:w="15" w:type="dxa"/>
          <w:left w:w="15" w:type="dxa"/>
          <w:bottom w:w="15" w:type="dxa"/>
          <w:right w:w="15" w:type="dxa"/>
        </w:tblCellMar>
      </w:tblPr>
      <w:tblGrid>
        <w:gridCol w:w="212"/>
        <w:gridCol w:w="1110"/>
        <w:gridCol w:w="751"/>
        <w:gridCol w:w="212"/>
        <w:gridCol w:w="391"/>
        <w:gridCol w:w="661"/>
        <w:gridCol w:w="1027"/>
        <w:gridCol w:w="481"/>
        <w:gridCol w:w="212"/>
        <w:gridCol w:w="751"/>
        <w:gridCol w:w="1027"/>
        <w:gridCol w:w="841"/>
        <w:gridCol w:w="1110"/>
      </w:tblGrid>
      <w:tr>
        <w:tblPrEx>
          <w:tblLayout w:type="fixed"/>
          <w:tblCellMar>
            <w:top w:w="15" w:type="dxa"/>
            <w:left w:w="15" w:type="dxa"/>
            <w:bottom w:w="15" w:type="dxa"/>
            <w:right w:w="15" w:type="dxa"/>
          </w:tblCellMar>
        </w:tblPrEx>
        <w:trPr>
          <w:trHeight w:val="660" w:hRule="atLeast"/>
          <w:jc w:val="center"/>
        </w:trPr>
        <w:tc>
          <w:tcPr>
            <w:tcW w:w="212"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序号</w:t>
            </w:r>
          </w:p>
        </w:tc>
        <w:tc>
          <w:tcPr>
            <w:tcW w:w="111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项目编码</w:t>
            </w:r>
          </w:p>
        </w:tc>
        <w:tc>
          <w:tcPr>
            <w:tcW w:w="751"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项目名称</w:t>
            </w:r>
          </w:p>
        </w:tc>
        <w:tc>
          <w:tcPr>
            <w:tcW w:w="2291" w:type="dxa"/>
            <w:gridSpan w:val="4"/>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签约合同价格</w:t>
            </w:r>
          </w:p>
        </w:tc>
        <w:tc>
          <w:tcPr>
            <w:tcW w:w="4422" w:type="dxa"/>
            <w:gridSpan w:val="6"/>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某局合同单价</w:t>
            </w:r>
          </w:p>
        </w:tc>
      </w:tr>
      <w:tr>
        <w:tblPrEx>
          <w:tblLayout w:type="fixed"/>
          <w:tblCellMar>
            <w:top w:w="15" w:type="dxa"/>
            <w:left w:w="15" w:type="dxa"/>
            <w:bottom w:w="15" w:type="dxa"/>
            <w:right w:w="15" w:type="dxa"/>
          </w:tblCellMar>
        </w:tblPrEx>
        <w:trPr>
          <w:trHeight w:val="1080" w:hRule="atLeast"/>
          <w:jc w:val="center"/>
        </w:trPr>
        <w:tc>
          <w:tcPr>
            <w:tcW w:w="212"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111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751"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2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计量单位</w:t>
            </w:r>
          </w:p>
        </w:tc>
        <w:tc>
          <w:tcPr>
            <w:tcW w:w="3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left"/>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工程量</w:t>
            </w:r>
          </w:p>
        </w:tc>
        <w:tc>
          <w:tcPr>
            <w:tcW w:w="6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综合单价①</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综合合价②</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工程量</w:t>
            </w:r>
          </w:p>
        </w:tc>
        <w:tc>
          <w:tcPr>
            <w:tcW w:w="2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单位</w:t>
            </w:r>
          </w:p>
        </w:tc>
        <w:tc>
          <w:tcPr>
            <w:tcW w:w="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综合单价⑥</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综合合价⑦</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单价差异（⑥-①）</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合价差异（⑦-②）</w:t>
            </w:r>
          </w:p>
        </w:tc>
      </w:tr>
      <w:tr>
        <w:tblPrEx>
          <w:tblLayout w:type="fixed"/>
          <w:tblCellMar>
            <w:top w:w="15" w:type="dxa"/>
            <w:left w:w="15" w:type="dxa"/>
            <w:bottom w:w="15" w:type="dxa"/>
            <w:right w:w="15" w:type="dxa"/>
          </w:tblCellMar>
        </w:tblPrEx>
        <w:trPr>
          <w:trHeight w:val="636" w:hRule="atLeast"/>
          <w:jc w:val="center"/>
        </w:trPr>
        <w:tc>
          <w:tcPr>
            <w:tcW w:w="2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FT0111</w:t>
            </w:r>
          </w:p>
        </w:tc>
        <w:tc>
          <w:tcPr>
            <w:tcW w:w="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1.1.1.10 主厂房钢结构及钢筋</w:t>
            </w:r>
          </w:p>
        </w:tc>
        <w:tc>
          <w:tcPr>
            <w:tcW w:w="2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3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6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10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4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2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10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8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r>
      <w:tr>
        <w:tblPrEx>
          <w:tblLayout w:type="fixed"/>
          <w:tblCellMar>
            <w:top w:w="15" w:type="dxa"/>
            <w:left w:w="15" w:type="dxa"/>
            <w:bottom w:w="15" w:type="dxa"/>
            <w:right w:w="15" w:type="dxa"/>
          </w:tblCellMar>
        </w:tblPrEx>
        <w:trPr>
          <w:trHeight w:val="636" w:hRule="atLeast"/>
          <w:jc w:val="center"/>
        </w:trPr>
        <w:tc>
          <w:tcPr>
            <w:tcW w:w="2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48</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FT0111H13001</w:t>
            </w:r>
          </w:p>
        </w:tc>
        <w:tc>
          <w:tcPr>
            <w:tcW w:w="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钢结构柱</w:t>
            </w:r>
          </w:p>
        </w:tc>
        <w:tc>
          <w:tcPr>
            <w:tcW w:w="2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t</w:t>
            </w:r>
          </w:p>
        </w:tc>
        <w:tc>
          <w:tcPr>
            <w:tcW w:w="3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1783</w:t>
            </w:r>
          </w:p>
        </w:tc>
        <w:tc>
          <w:tcPr>
            <w:tcW w:w="6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7934.31 </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14148615.69 </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1783</w:t>
            </w:r>
          </w:p>
        </w:tc>
        <w:tc>
          <w:tcPr>
            <w:tcW w:w="2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t</w:t>
            </w:r>
          </w:p>
        </w:tc>
        <w:tc>
          <w:tcPr>
            <w:tcW w:w="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10997.31 </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19610615.95</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3063.00 </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4116671.893</w:t>
            </w:r>
          </w:p>
        </w:tc>
      </w:tr>
      <w:tr>
        <w:tblPrEx>
          <w:tblLayout w:type="fixed"/>
          <w:tblCellMar>
            <w:top w:w="15" w:type="dxa"/>
            <w:left w:w="15" w:type="dxa"/>
            <w:bottom w:w="15" w:type="dxa"/>
            <w:right w:w="15" w:type="dxa"/>
          </w:tblCellMar>
        </w:tblPrEx>
        <w:trPr>
          <w:trHeight w:val="636" w:hRule="atLeast"/>
          <w:jc w:val="center"/>
        </w:trPr>
        <w:tc>
          <w:tcPr>
            <w:tcW w:w="2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49</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FT0111H14001</w:t>
            </w:r>
          </w:p>
        </w:tc>
        <w:tc>
          <w:tcPr>
            <w:tcW w:w="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钢结构梁</w:t>
            </w:r>
          </w:p>
        </w:tc>
        <w:tc>
          <w:tcPr>
            <w:tcW w:w="2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t</w:t>
            </w:r>
          </w:p>
        </w:tc>
        <w:tc>
          <w:tcPr>
            <w:tcW w:w="3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2075</w:t>
            </w:r>
          </w:p>
        </w:tc>
        <w:tc>
          <w:tcPr>
            <w:tcW w:w="6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7923.63 </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16442439.22 </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2075</w:t>
            </w:r>
          </w:p>
        </w:tc>
        <w:tc>
          <w:tcPr>
            <w:tcW w:w="2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t</w:t>
            </w:r>
          </w:p>
        </w:tc>
        <w:tc>
          <w:tcPr>
            <w:tcW w:w="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11648.36 </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24171689.77</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3724.73 </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5825482.776</w:t>
            </w:r>
          </w:p>
        </w:tc>
      </w:tr>
      <w:tr>
        <w:tblPrEx>
          <w:tblLayout w:type="fixed"/>
          <w:tblCellMar>
            <w:top w:w="15" w:type="dxa"/>
            <w:left w:w="15" w:type="dxa"/>
            <w:bottom w:w="15" w:type="dxa"/>
            <w:right w:w="15" w:type="dxa"/>
          </w:tblCellMar>
        </w:tblPrEx>
        <w:trPr>
          <w:trHeight w:val="636" w:hRule="atLeast"/>
          <w:jc w:val="center"/>
        </w:trPr>
        <w:tc>
          <w:tcPr>
            <w:tcW w:w="2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53</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FT0111H16001</w:t>
            </w:r>
          </w:p>
        </w:tc>
        <w:tc>
          <w:tcPr>
            <w:tcW w:w="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钢结构支撑、桁架</w:t>
            </w:r>
          </w:p>
        </w:tc>
        <w:tc>
          <w:tcPr>
            <w:tcW w:w="2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t</w:t>
            </w:r>
          </w:p>
        </w:tc>
        <w:tc>
          <w:tcPr>
            <w:tcW w:w="3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2642</w:t>
            </w:r>
          </w:p>
        </w:tc>
        <w:tc>
          <w:tcPr>
            <w:tcW w:w="6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7976.77 </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21071904.52 </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2642</w:t>
            </w:r>
          </w:p>
        </w:tc>
        <w:tc>
          <w:tcPr>
            <w:tcW w:w="2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t</w:t>
            </w:r>
          </w:p>
        </w:tc>
        <w:tc>
          <w:tcPr>
            <w:tcW w:w="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11335.02 </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29943247.91</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3358.25 </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6686270.267</w:t>
            </w:r>
          </w:p>
        </w:tc>
      </w:tr>
      <w:tr>
        <w:tblPrEx>
          <w:tblLayout w:type="fixed"/>
          <w:tblCellMar>
            <w:top w:w="15" w:type="dxa"/>
            <w:left w:w="15" w:type="dxa"/>
            <w:bottom w:w="15" w:type="dxa"/>
            <w:right w:w="15" w:type="dxa"/>
          </w:tblCellMar>
        </w:tblPrEx>
        <w:trPr>
          <w:trHeight w:val="636" w:hRule="atLeast"/>
          <w:jc w:val="center"/>
        </w:trPr>
        <w:tc>
          <w:tcPr>
            <w:tcW w:w="2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54</w:t>
            </w: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FT0111H31001</w:t>
            </w:r>
          </w:p>
        </w:tc>
        <w:tc>
          <w:tcPr>
            <w:tcW w:w="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钢结构防火</w:t>
            </w:r>
          </w:p>
        </w:tc>
        <w:tc>
          <w:tcPr>
            <w:tcW w:w="2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t</w:t>
            </w:r>
          </w:p>
        </w:tc>
        <w:tc>
          <w:tcPr>
            <w:tcW w:w="3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6500</w:t>
            </w:r>
          </w:p>
        </w:tc>
        <w:tc>
          <w:tcPr>
            <w:tcW w:w="6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1522.50 </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9896281.92 </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25805</w:t>
            </w:r>
          </w:p>
        </w:tc>
        <w:tc>
          <w:tcPr>
            <w:tcW w:w="2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w:t>
            </w:r>
          </w:p>
        </w:tc>
        <w:tc>
          <w:tcPr>
            <w:tcW w:w="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61.41 </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1584668.61 </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1110"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-4002361.83</w:t>
            </w:r>
          </w:p>
        </w:tc>
      </w:tr>
      <w:tr>
        <w:tblPrEx>
          <w:tblLayout w:type="fixed"/>
          <w:tblCellMar>
            <w:top w:w="15" w:type="dxa"/>
            <w:left w:w="15" w:type="dxa"/>
            <w:bottom w:w="15" w:type="dxa"/>
            <w:right w:w="15" w:type="dxa"/>
          </w:tblCellMar>
        </w:tblPrEx>
        <w:trPr>
          <w:trHeight w:val="636" w:hRule="atLeast"/>
          <w:jc w:val="center"/>
        </w:trPr>
        <w:tc>
          <w:tcPr>
            <w:tcW w:w="2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2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3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6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10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4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25805</w:t>
            </w:r>
          </w:p>
        </w:tc>
        <w:tc>
          <w:tcPr>
            <w:tcW w:w="2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w:t>
            </w:r>
          </w:p>
        </w:tc>
        <w:tc>
          <w:tcPr>
            <w:tcW w:w="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75.53 </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1949179.38 </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111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r>
      <w:tr>
        <w:tblPrEx>
          <w:tblLayout w:type="fixed"/>
          <w:tblCellMar>
            <w:top w:w="15" w:type="dxa"/>
            <w:left w:w="15" w:type="dxa"/>
            <w:bottom w:w="15" w:type="dxa"/>
            <w:right w:w="15" w:type="dxa"/>
          </w:tblCellMar>
        </w:tblPrEx>
        <w:trPr>
          <w:trHeight w:val="636" w:hRule="atLeast"/>
          <w:jc w:val="center"/>
        </w:trPr>
        <w:tc>
          <w:tcPr>
            <w:tcW w:w="2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2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3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6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10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4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25805</w:t>
            </w:r>
          </w:p>
        </w:tc>
        <w:tc>
          <w:tcPr>
            <w:tcW w:w="2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w:t>
            </w:r>
          </w:p>
        </w:tc>
        <w:tc>
          <w:tcPr>
            <w:tcW w:w="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91.46 </w:t>
            </w:r>
          </w:p>
        </w:tc>
        <w:tc>
          <w:tcPr>
            <w:tcW w:w="10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kern w:val="0"/>
                <w:sz w:val="18"/>
                <w:szCs w:val="18"/>
              </w:rPr>
              <w:t xml:space="preserve">2360072.09 </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c>
          <w:tcPr>
            <w:tcW w:w="1110" w:type="dxa"/>
            <w:vMerge w:val="continue"/>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r>
      <w:tr>
        <w:tblPrEx>
          <w:tblLayout w:type="fixed"/>
          <w:tblCellMar>
            <w:top w:w="15" w:type="dxa"/>
            <w:left w:w="15" w:type="dxa"/>
            <w:bottom w:w="15" w:type="dxa"/>
            <w:right w:w="15" w:type="dxa"/>
          </w:tblCellMar>
        </w:tblPrEx>
        <w:trPr>
          <w:trHeight w:val="636" w:hRule="atLeast"/>
          <w:jc w:val="center"/>
        </w:trPr>
        <w:tc>
          <w:tcPr>
            <w:tcW w:w="2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rPr>
                <w:rFonts w:hint="eastAsia" w:ascii="仿宋" w:hAnsi="仿宋" w:eastAsia="仿宋" w:cs="仿宋"/>
                <w:b/>
                <w:color w:val="FF0000"/>
                <w:sz w:val="18"/>
                <w:szCs w:val="18"/>
              </w:rPr>
            </w:pP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rPr>
                <w:rFonts w:hint="eastAsia" w:ascii="仿宋" w:hAnsi="仿宋" w:eastAsia="仿宋" w:cs="仿宋"/>
                <w:b/>
                <w:color w:val="000000"/>
                <w:sz w:val="18"/>
                <w:szCs w:val="18"/>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left"/>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合计</w:t>
            </w:r>
          </w:p>
        </w:tc>
        <w:tc>
          <w:tcPr>
            <w:tcW w:w="2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rPr>
                <w:rFonts w:hint="eastAsia" w:ascii="仿宋" w:hAnsi="仿宋" w:eastAsia="仿宋" w:cs="仿宋"/>
                <w:b/>
                <w:color w:val="000000"/>
                <w:sz w:val="18"/>
                <w:szCs w:val="18"/>
              </w:rPr>
            </w:pPr>
          </w:p>
        </w:tc>
        <w:tc>
          <w:tcPr>
            <w:tcW w:w="39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rPr>
                <w:rFonts w:hint="eastAsia" w:ascii="仿宋" w:hAnsi="仿宋" w:eastAsia="仿宋" w:cs="仿宋"/>
                <w:b/>
                <w:color w:val="000000"/>
                <w:sz w:val="18"/>
                <w:szCs w:val="18"/>
              </w:rPr>
            </w:pPr>
          </w:p>
        </w:tc>
        <w:tc>
          <w:tcPr>
            <w:tcW w:w="66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rPr>
                <w:rFonts w:hint="eastAsia" w:ascii="仿宋" w:hAnsi="仿宋" w:eastAsia="仿宋" w:cs="仿宋"/>
                <w:b/>
                <w:color w:val="000000"/>
                <w:sz w:val="18"/>
                <w:szCs w:val="18"/>
              </w:rPr>
            </w:pPr>
          </w:p>
        </w:tc>
        <w:tc>
          <w:tcPr>
            <w:tcW w:w="10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left"/>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46398289.91</w:t>
            </w:r>
          </w:p>
        </w:tc>
        <w:tc>
          <w:tcPr>
            <w:tcW w:w="48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rPr>
                <w:rFonts w:hint="eastAsia" w:ascii="仿宋" w:hAnsi="仿宋" w:eastAsia="仿宋" w:cs="仿宋"/>
                <w:b/>
                <w:color w:val="000000"/>
                <w:sz w:val="18"/>
                <w:szCs w:val="18"/>
              </w:rPr>
            </w:pPr>
          </w:p>
        </w:tc>
        <w:tc>
          <w:tcPr>
            <w:tcW w:w="21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rPr>
                <w:rFonts w:hint="eastAsia" w:ascii="仿宋" w:hAnsi="仿宋" w:eastAsia="仿宋" w:cs="仿宋"/>
                <w:b/>
                <w:color w:val="000000"/>
                <w:sz w:val="18"/>
                <w:szCs w:val="18"/>
              </w:rPr>
            </w:pPr>
          </w:p>
        </w:tc>
        <w:tc>
          <w:tcPr>
            <w:tcW w:w="75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rPr>
                <w:rFonts w:hint="eastAsia" w:ascii="仿宋" w:hAnsi="仿宋" w:eastAsia="仿宋" w:cs="仿宋"/>
                <w:b/>
                <w:color w:val="000000"/>
                <w:sz w:val="18"/>
                <w:szCs w:val="18"/>
              </w:rPr>
            </w:pPr>
          </w:p>
        </w:tc>
        <w:tc>
          <w:tcPr>
            <w:tcW w:w="102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left"/>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79619473.72</w:t>
            </w:r>
          </w:p>
        </w:tc>
        <w:tc>
          <w:tcPr>
            <w:tcW w:w="8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kinsoku/>
              <w:wordWrap/>
              <w:overflowPunct/>
              <w:topLinePunct w:val="0"/>
              <w:autoSpaceDE/>
              <w:autoSpaceDN/>
              <w:bidi w:val="0"/>
              <w:spacing w:line="360" w:lineRule="auto"/>
              <w:ind w:left="0" w:leftChars="0"/>
              <w:rPr>
                <w:rFonts w:hint="eastAsia" w:ascii="仿宋" w:hAnsi="仿宋" w:eastAsia="仿宋" w:cs="仿宋"/>
                <w:b/>
                <w:color w:val="000000"/>
                <w:sz w:val="18"/>
                <w:szCs w:val="18"/>
              </w:rPr>
            </w:pPr>
          </w:p>
        </w:tc>
        <w:tc>
          <w:tcPr>
            <w:tcW w:w="111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spacing w:line="360" w:lineRule="auto"/>
              <w:ind w:left="0" w:leftChars="0"/>
              <w:jc w:val="left"/>
              <w:textAlignment w:val="center"/>
              <w:rPr>
                <w:rFonts w:hint="eastAsia" w:ascii="仿宋" w:hAnsi="仿宋" w:eastAsia="仿宋" w:cs="仿宋"/>
                <w:b/>
                <w:color w:val="000000"/>
                <w:sz w:val="18"/>
                <w:szCs w:val="18"/>
              </w:rPr>
            </w:pPr>
            <w:r>
              <w:rPr>
                <w:rFonts w:hint="eastAsia" w:ascii="仿宋" w:hAnsi="仿宋" w:eastAsia="仿宋" w:cs="仿宋"/>
                <w:b/>
                <w:color w:val="000000"/>
                <w:kern w:val="0"/>
                <w:sz w:val="18"/>
                <w:szCs w:val="18"/>
              </w:rPr>
              <w:t>18060232.38</w:t>
            </w:r>
          </w:p>
        </w:tc>
      </w:tr>
    </w:tbl>
    <w:p>
      <w:pPr>
        <w:keepNext w:val="0"/>
        <w:keepLines w:val="0"/>
        <w:pageBreakBefore w:val="0"/>
        <w:kinsoku/>
        <w:wordWrap/>
        <w:overflowPunct/>
        <w:topLinePunct w:val="0"/>
        <w:autoSpaceDE/>
        <w:autoSpaceDN/>
        <w:bidi w:val="0"/>
        <w:spacing w:line="360" w:lineRule="auto"/>
        <w:ind w:left="0" w:leftChars="0" w:firstLine="480"/>
        <w:rPr>
          <w:rFonts w:hint="eastAsia" w:ascii="仿宋" w:hAnsi="仿宋" w:eastAsia="仿宋" w:cs="仿宋"/>
          <w:sz w:val="24"/>
          <w:szCs w:val="24"/>
        </w:rPr>
      </w:pPr>
      <w:r>
        <w:rPr>
          <w:rFonts w:hint="eastAsia" w:ascii="仿宋" w:hAnsi="仿宋" w:eastAsia="仿宋" w:cs="仿宋"/>
          <w:sz w:val="24"/>
          <w:szCs w:val="24"/>
        </w:rPr>
        <w:t>从表7可见，在同等工程量的条件下，主体合同与某局合同的总价差异为18060232.38元。表7未考虑某局投标时基准期2018年4月与实际采购期2018年9月之间的材料价差，该部分材料价差968401.83元，则考虑价差后的合价差异为19028634.21元。以上参某局合同单价的钢结构材质均是按Q345B考虑的，实际施工时Q235材质及Q420B材质均应相应调整材质差价。</w:t>
      </w:r>
    </w:p>
    <w:p>
      <w:pPr>
        <w:pStyle w:val="3"/>
        <w:keepNext w:val="0"/>
        <w:keepLines w:val="0"/>
        <w:pageBreakBefore w:val="0"/>
        <w:kinsoku/>
        <w:wordWrap/>
        <w:overflowPunct/>
        <w:topLinePunct w:val="0"/>
        <w:autoSpaceDE/>
        <w:autoSpaceDN/>
        <w:bidi w:val="0"/>
        <w:spacing w:line="360" w:lineRule="auto"/>
        <w:ind w:left="0" w:leftChars="0" w:firstLine="482" w:firstLineChars="200"/>
        <w:rPr>
          <w:rFonts w:hint="eastAsia" w:ascii="仿宋" w:hAnsi="仿宋" w:eastAsia="仿宋" w:cs="仿宋"/>
          <w:b/>
          <w:sz w:val="24"/>
          <w:szCs w:val="24"/>
        </w:rPr>
      </w:pPr>
      <w:r>
        <w:rPr>
          <w:rFonts w:hint="eastAsia" w:ascii="仿宋" w:hAnsi="仿宋" w:eastAsia="仿宋" w:cs="仿宋"/>
          <w:b/>
          <w:sz w:val="24"/>
          <w:szCs w:val="24"/>
        </w:rPr>
        <w:t>四、调研结论</w:t>
      </w:r>
    </w:p>
    <w:p>
      <w:pPr>
        <w:keepNext w:val="0"/>
        <w:keepLines w:val="0"/>
        <w:pageBreakBefore w:val="0"/>
        <w:kinsoku/>
        <w:wordWrap/>
        <w:overflowPunct/>
        <w:topLinePunct w:val="0"/>
        <w:autoSpaceDE/>
        <w:autoSpaceDN/>
        <w:bidi w:val="0"/>
        <w:spacing w:line="360" w:lineRule="auto"/>
        <w:ind w:left="0" w:leftChars="0" w:firstLine="480" w:firstLineChars="200"/>
        <w:rPr>
          <w:rFonts w:hint="eastAsia" w:ascii="仿宋" w:hAnsi="仿宋" w:eastAsia="仿宋" w:cs="仿宋"/>
          <w:sz w:val="24"/>
          <w:szCs w:val="24"/>
        </w:rPr>
      </w:pPr>
      <w:r>
        <w:rPr>
          <w:rFonts w:hint="eastAsia" w:ascii="仿宋" w:hAnsi="仿宋" w:eastAsia="仿宋" w:cs="仿宋"/>
          <w:sz w:val="24"/>
          <w:szCs w:val="24"/>
        </w:rPr>
        <w:t>某公司合同中钢结构的单价与当前深圳市场价格偏差较大，而某局合同中钢结构的单价是相对合理的，</w:t>
      </w:r>
      <w:r>
        <w:rPr>
          <w:rFonts w:hint="eastAsia" w:ascii="仿宋" w:hAnsi="仿宋" w:eastAsia="仿宋" w:cs="仿宋"/>
          <w:sz w:val="24"/>
          <w:szCs w:val="24"/>
          <w:lang w:val="en-US" w:eastAsia="zh-CN"/>
        </w:rPr>
        <w:t>建议按以下价格考虑。</w:t>
      </w:r>
      <w:r>
        <w:rPr>
          <w:rFonts w:hint="eastAsia" w:ascii="仿宋" w:hAnsi="仿宋" w:eastAsia="仿宋" w:cs="仿宋"/>
          <w:sz w:val="24"/>
          <w:szCs w:val="24"/>
        </w:rPr>
        <w:t>其具体价格详见表8。</w:t>
      </w:r>
    </w:p>
    <w:p>
      <w:pPr>
        <w:keepNext w:val="0"/>
        <w:keepLines w:val="0"/>
        <w:pageBreakBefore w:val="0"/>
        <w:kinsoku/>
        <w:wordWrap/>
        <w:overflowPunct/>
        <w:topLinePunct w:val="0"/>
        <w:autoSpaceDE/>
        <w:autoSpaceDN/>
        <w:bidi w:val="0"/>
        <w:spacing w:line="360" w:lineRule="auto"/>
        <w:ind w:left="0" w:leftChars="0" w:firstLine="630" w:firstLineChars="300"/>
        <w:jc w:val="center"/>
        <w:rPr>
          <w:rFonts w:hint="eastAsia" w:ascii="仿宋" w:hAnsi="仿宋" w:eastAsia="仿宋" w:cs="仿宋"/>
          <w:szCs w:val="21"/>
        </w:rPr>
      </w:pPr>
      <w:r>
        <w:rPr>
          <w:rFonts w:hint="eastAsia" w:ascii="仿宋" w:hAnsi="仿宋" w:eastAsia="仿宋" w:cs="仿宋"/>
          <w:szCs w:val="21"/>
        </w:rPr>
        <w:t>表8  全费用综合单价</w:t>
      </w:r>
    </w:p>
    <w:p>
      <w:pPr>
        <w:keepNext w:val="0"/>
        <w:keepLines w:val="0"/>
        <w:pageBreakBefore w:val="0"/>
        <w:kinsoku/>
        <w:wordWrap/>
        <w:overflowPunct/>
        <w:topLinePunct w:val="0"/>
        <w:autoSpaceDE/>
        <w:autoSpaceDN/>
        <w:bidi w:val="0"/>
        <w:spacing w:line="360" w:lineRule="auto"/>
        <w:ind w:left="0" w:leftChars="0" w:firstLine="540" w:firstLineChars="300"/>
        <w:jc w:val="right"/>
        <w:rPr>
          <w:rFonts w:hint="eastAsia" w:ascii="仿宋" w:hAnsi="仿宋" w:eastAsia="仿宋" w:cs="仿宋"/>
          <w:sz w:val="18"/>
          <w:szCs w:val="18"/>
        </w:rPr>
      </w:pPr>
      <w:r>
        <w:rPr>
          <w:rFonts w:hint="eastAsia" w:ascii="仿宋" w:hAnsi="仿宋" w:eastAsia="仿宋" w:cs="仿宋"/>
          <w:sz w:val="18"/>
          <w:szCs w:val="18"/>
        </w:rPr>
        <w:t>（金额单位：人民币元）</w:t>
      </w:r>
    </w:p>
    <w:tbl>
      <w:tblPr>
        <w:tblStyle w:val="10"/>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2956"/>
        <w:gridCol w:w="1048"/>
        <w:gridCol w:w="1699"/>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4"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序号</w:t>
            </w:r>
          </w:p>
        </w:tc>
        <w:tc>
          <w:tcPr>
            <w:tcW w:w="2956"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项目名称</w:t>
            </w:r>
          </w:p>
        </w:tc>
        <w:tc>
          <w:tcPr>
            <w:tcW w:w="1048"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计量单位</w:t>
            </w:r>
          </w:p>
        </w:tc>
        <w:tc>
          <w:tcPr>
            <w:tcW w:w="1699"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工程量</w:t>
            </w:r>
          </w:p>
        </w:tc>
        <w:tc>
          <w:tcPr>
            <w:tcW w:w="1705"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全费用综合单价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4"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1</w:t>
            </w:r>
          </w:p>
        </w:tc>
        <w:tc>
          <w:tcPr>
            <w:tcW w:w="2956" w:type="dxa"/>
            <w:noWrap/>
            <w:vAlign w:val="center"/>
          </w:tcPr>
          <w:p>
            <w:pPr>
              <w:keepNext w:val="0"/>
              <w:keepLines w:val="0"/>
              <w:pageBreakBefore w:val="0"/>
              <w:kinsoku/>
              <w:wordWrap/>
              <w:overflowPunct/>
              <w:topLinePunct w:val="0"/>
              <w:autoSpaceDE/>
              <w:autoSpaceDN/>
              <w:bidi w:val="0"/>
              <w:spacing w:line="360" w:lineRule="auto"/>
              <w:ind w:left="0" w:leftChars="0"/>
              <w:rPr>
                <w:rFonts w:hint="eastAsia" w:ascii="仿宋" w:hAnsi="仿宋" w:eastAsia="仿宋" w:cs="仿宋"/>
                <w:sz w:val="18"/>
                <w:szCs w:val="18"/>
              </w:rPr>
            </w:pPr>
            <w:r>
              <w:rPr>
                <w:rFonts w:hint="eastAsia" w:ascii="仿宋" w:hAnsi="仿宋" w:eastAsia="仿宋" w:cs="仿宋"/>
                <w:color w:val="000000"/>
                <w:kern w:val="0"/>
                <w:sz w:val="18"/>
                <w:szCs w:val="18"/>
              </w:rPr>
              <w:t>钢结构柱</w:t>
            </w:r>
          </w:p>
        </w:tc>
        <w:tc>
          <w:tcPr>
            <w:tcW w:w="1048"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t</w:t>
            </w:r>
          </w:p>
        </w:tc>
        <w:tc>
          <w:tcPr>
            <w:tcW w:w="1699" w:type="dxa"/>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sz w:val="18"/>
                <w:szCs w:val="18"/>
              </w:rPr>
            </w:pPr>
            <w:r>
              <w:rPr>
                <w:rFonts w:hint="eastAsia" w:ascii="仿宋" w:hAnsi="仿宋" w:eastAsia="仿宋" w:cs="仿宋"/>
                <w:color w:val="000000"/>
                <w:kern w:val="0"/>
                <w:sz w:val="18"/>
                <w:szCs w:val="18"/>
              </w:rPr>
              <w:t>1344</w:t>
            </w:r>
          </w:p>
        </w:tc>
        <w:tc>
          <w:tcPr>
            <w:tcW w:w="1705"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rPr>
            </w:pPr>
            <w:r>
              <w:rPr>
                <w:rFonts w:hint="eastAsia" w:ascii="仿宋" w:hAnsi="仿宋" w:eastAsia="仿宋" w:cs="仿宋"/>
                <w:color w:val="000000"/>
                <w:kern w:val="0"/>
                <w:sz w:val="18"/>
                <w:szCs w:val="18"/>
              </w:rPr>
              <w:t>10997.31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4"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2</w:t>
            </w:r>
          </w:p>
        </w:tc>
        <w:tc>
          <w:tcPr>
            <w:tcW w:w="2956" w:type="dxa"/>
            <w:noWrap/>
            <w:vAlign w:val="center"/>
          </w:tcPr>
          <w:p>
            <w:pPr>
              <w:keepNext w:val="0"/>
              <w:keepLines w:val="0"/>
              <w:pageBreakBefore w:val="0"/>
              <w:kinsoku/>
              <w:wordWrap/>
              <w:overflowPunct/>
              <w:topLinePunct w:val="0"/>
              <w:autoSpaceDE/>
              <w:autoSpaceDN/>
              <w:bidi w:val="0"/>
              <w:spacing w:line="360" w:lineRule="auto"/>
              <w:ind w:left="0" w:leftChars="0"/>
              <w:rPr>
                <w:rFonts w:hint="eastAsia" w:ascii="仿宋" w:hAnsi="仿宋" w:eastAsia="仿宋" w:cs="仿宋"/>
                <w:sz w:val="18"/>
                <w:szCs w:val="18"/>
              </w:rPr>
            </w:pPr>
            <w:r>
              <w:rPr>
                <w:rFonts w:hint="eastAsia" w:ascii="仿宋" w:hAnsi="仿宋" w:eastAsia="仿宋" w:cs="仿宋"/>
                <w:color w:val="000000"/>
                <w:kern w:val="0"/>
                <w:sz w:val="18"/>
                <w:szCs w:val="18"/>
              </w:rPr>
              <w:t>钢结构梁</w:t>
            </w:r>
          </w:p>
        </w:tc>
        <w:tc>
          <w:tcPr>
            <w:tcW w:w="1048"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t</w:t>
            </w:r>
          </w:p>
        </w:tc>
        <w:tc>
          <w:tcPr>
            <w:tcW w:w="1699" w:type="dxa"/>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sz w:val="18"/>
                <w:szCs w:val="18"/>
              </w:rPr>
            </w:pPr>
            <w:r>
              <w:rPr>
                <w:rFonts w:hint="eastAsia" w:ascii="仿宋" w:hAnsi="仿宋" w:eastAsia="仿宋" w:cs="仿宋"/>
                <w:color w:val="000000"/>
                <w:kern w:val="0"/>
                <w:sz w:val="18"/>
                <w:szCs w:val="18"/>
              </w:rPr>
              <w:t>1564</w:t>
            </w:r>
          </w:p>
        </w:tc>
        <w:tc>
          <w:tcPr>
            <w:tcW w:w="1705"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rPr>
            </w:pPr>
            <w:r>
              <w:rPr>
                <w:rFonts w:hint="eastAsia" w:ascii="仿宋" w:hAnsi="仿宋" w:eastAsia="仿宋" w:cs="仿宋"/>
                <w:color w:val="000000"/>
                <w:kern w:val="0"/>
                <w:sz w:val="18"/>
                <w:szCs w:val="18"/>
              </w:rPr>
              <w:t>11648.36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4"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3</w:t>
            </w:r>
          </w:p>
        </w:tc>
        <w:tc>
          <w:tcPr>
            <w:tcW w:w="2956" w:type="dxa"/>
            <w:noWrap/>
            <w:vAlign w:val="center"/>
          </w:tcPr>
          <w:p>
            <w:pPr>
              <w:keepNext w:val="0"/>
              <w:keepLines w:val="0"/>
              <w:pageBreakBefore w:val="0"/>
              <w:kinsoku/>
              <w:wordWrap/>
              <w:overflowPunct/>
              <w:topLinePunct w:val="0"/>
              <w:autoSpaceDE/>
              <w:autoSpaceDN/>
              <w:bidi w:val="0"/>
              <w:spacing w:line="360" w:lineRule="auto"/>
              <w:ind w:left="0" w:leftChars="0"/>
              <w:rPr>
                <w:rFonts w:hint="eastAsia" w:ascii="仿宋" w:hAnsi="仿宋" w:eastAsia="仿宋" w:cs="仿宋"/>
                <w:sz w:val="18"/>
                <w:szCs w:val="18"/>
              </w:rPr>
            </w:pPr>
            <w:r>
              <w:rPr>
                <w:rFonts w:hint="eastAsia" w:ascii="仿宋" w:hAnsi="仿宋" w:eastAsia="仿宋" w:cs="仿宋"/>
                <w:color w:val="000000"/>
                <w:kern w:val="0"/>
                <w:sz w:val="18"/>
                <w:szCs w:val="18"/>
              </w:rPr>
              <w:t>钢结构支撑、桁架</w:t>
            </w:r>
          </w:p>
        </w:tc>
        <w:tc>
          <w:tcPr>
            <w:tcW w:w="1048"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t</w:t>
            </w:r>
          </w:p>
        </w:tc>
        <w:tc>
          <w:tcPr>
            <w:tcW w:w="1699" w:type="dxa"/>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sz w:val="18"/>
                <w:szCs w:val="18"/>
              </w:rPr>
            </w:pPr>
            <w:r>
              <w:rPr>
                <w:rFonts w:hint="eastAsia" w:ascii="仿宋" w:hAnsi="仿宋" w:eastAsia="仿宋" w:cs="仿宋"/>
                <w:color w:val="000000"/>
                <w:kern w:val="0"/>
                <w:sz w:val="18"/>
                <w:szCs w:val="18"/>
              </w:rPr>
              <w:t>1991</w:t>
            </w:r>
          </w:p>
        </w:tc>
        <w:tc>
          <w:tcPr>
            <w:tcW w:w="1705"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rPr>
            </w:pPr>
            <w:r>
              <w:rPr>
                <w:rFonts w:hint="eastAsia" w:ascii="仿宋" w:hAnsi="仿宋" w:eastAsia="仿宋" w:cs="仿宋"/>
                <w:color w:val="000000"/>
                <w:kern w:val="0"/>
                <w:sz w:val="18"/>
                <w:szCs w:val="18"/>
              </w:rPr>
              <w:t>11335.02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4"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4</w:t>
            </w:r>
          </w:p>
        </w:tc>
        <w:tc>
          <w:tcPr>
            <w:tcW w:w="2956" w:type="dxa"/>
            <w:noWrap/>
            <w:vAlign w:val="center"/>
          </w:tcPr>
          <w:p>
            <w:pPr>
              <w:keepNext w:val="0"/>
              <w:keepLines w:val="0"/>
              <w:pageBreakBefore w:val="0"/>
              <w:kinsoku/>
              <w:wordWrap/>
              <w:overflowPunct/>
              <w:topLinePunct w:val="0"/>
              <w:autoSpaceDE/>
              <w:autoSpaceDN/>
              <w:bidi w:val="0"/>
              <w:spacing w:line="360" w:lineRule="auto"/>
              <w:ind w:left="0" w:leftChars="0"/>
              <w:rPr>
                <w:rFonts w:hint="eastAsia" w:ascii="仿宋" w:hAnsi="仿宋" w:eastAsia="仿宋" w:cs="仿宋"/>
                <w:sz w:val="18"/>
                <w:szCs w:val="18"/>
              </w:rPr>
            </w:pPr>
            <w:r>
              <w:rPr>
                <w:rFonts w:hint="eastAsia" w:ascii="仿宋" w:hAnsi="仿宋" w:eastAsia="仿宋" w:cs="仿宋"/>
                <w:color w:val="000000"/>
                <w:kern w:val="0"/>
                <w:sz w:val="18"/>
                <w:szCs w:val="18"/>
              </w:rPr>
              <w:t>钢结构防火（防火等级1h）</w:t>
            </w:r>
          </w:p>
        </w:tc>
        <w:tc>
          <w:tcPr>
            <w:tcW w:w="1048"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w:t>
            </w:r>
          </w:p>
        </w:tc>
        <w:tc>
          <w:tcPr>
            <w:tcW w:w="1699" w:type="dxa"/>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sz w:val="18"/>
                <w:szCs w:val="18"/>
              </w:rPr>
            </w:pPr>
            <w:r>
              <w:rPr>
                <w:rFonts w:hint="eastAsia" w:ascii="仿宋" w:hAnsi="仿宋" w:eastAsia="仿宋" w:cs="仿宋"/>
                <w:color w:val="000000"/>
                <w:kern w:val="0"/>
                <w:sz w:val="18"/>
                <w:szCs w:val="18"/>
              </w:rPr>
              <w:t>19460</w:t>
            </w:r>
          </w:p>
        </w:tc>
        <w:tc>
          <w:tcPr>
            <w:tcW w:w="1705"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rPr>
            </w:pPr>
            <w:r>
              <w:rPr>
                <w:rFonts w:hint="eastAsia" w:ascii="仿宋" w:hAnsi="仿宋" w:eastAsia="仿宋" w:cs="仿宋"/>
                <w:color w:val="000000"/>
                <w:kern w:val="0"/>
                <w:sz w:val="18"/>
                <w:szCs w:val="18"/>
              </w:rPr>
              <w:t>61.41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4"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5</w:t>
            </w:r>
          </w:p>
        </w:tc>
        <w:tc>
          <w:tcPr>
            <w:tcW w:w="2956" w:type="dxa"/>
            <w:noWrap/>
            <w:vAlign w:val="center"/>
          </w:tcPr>
          <w:p>
            <w:pPr>
              <w:keepNext w:val="0"/>
              <w:keepLines w:val="0"/>
              <w:pageBreakBefore w:val="0"/>
              <w:kinsoku/>
              <w:wordWrap/>
              <w:overflowPunct/>
              <w:topLinePunct w:val="0"/>
              <w:autoSpaceDE/>
              <w:autoSpaceDN/>
              <w:bidi w:val="0"/>
              <w:spacing w:line="360" w:lineRule="auto"/>
              <w:ind w:left="0" w:leftChars="0"/>
              <w:rPr>
                <w:rFonts w:hint="eastAsia" w:ascii="仿宋" w:hAnsi="仿宋" w:eastAsia="仿宋" w:cs="仿宋"/>
                <w:sz w:val="18"/>
                <w:szCs w:val="18"/>
              </w:rPr>
            </w:pPr>
            <w:r>
              <w:rPr>
                <w:rFonts w:hint="eastAsia" w:ascii="仿宋" w:hAnsi="仿宋" w:eastAsia="仿宋" w:cs="仿宋"/>
                <w:color w:val="000000"/>
                <w:kern w:val="0"/>
                <w:sz w:val="18"/>
                <w:szCs w:val="18"/>
              </w:rPr>
              <w:t>钢结构防火（防火等级1.5h）</w:t>
            </w:r>
          </w:p>
        </w:tc>
        <w:tc>
          <w:tcPr>
            <w:tcW w:w="1048"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w:t>
            </w:r>
          </w:p>
        </w:tc>
        <w:tc>
          <w:tcPr>
            <w:tcW w:w="1699" w:type="dxa"/>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sz w:val="18"/>
                <w:szCs w:val="18"/>
              </w:rPr>
            </w:pPr>
            <w:r>
              <w:rPr>
                <w:rFonts w:hint="eastAsia" w:ascii="仿宋" w:hAnsi="仿宋" w:eastAsia="仿宋" w:cs="仿宋"/>
                <w:color w:val="000000"/>
                <w:kern w:val="0"/>
                <w:sz w:val="18"/>
                <w:szCs w:val="18"/>
              </w:rPr>
              <w:t>19460</w:t>
            </w:r>
          </w:p>
        </w:tc>
        <w:tc>
          <w:tcPr>
            <w:tcW w:w="1705"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rPr>
            </w:pPr>
            <w:r>
              <w:rPr>
                <w:rFonts w:hint="eastAsia" w:ascii="仿宋" w:hAnsi="仿宋" w:eastAsia="仿宋" w:cs="仿宋"/>
                <w:color w:val="000000"/>
                <w:kern w:val="0"/>
                <w:sz w:val="18"/>
                <w:szCs w:val="18"/>
              </w:rPr>
              <w:t>75.53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14"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6</w:t>
            </w:r>
          </w:p>
        </w:tc>
        <w:tc>
          <w:tcPr>
            <w:tcW w:w="2956" w:type="dxa"/>
            <w:noWrap/>
            <w:vAlign w:val="center"/>
          </w:tcPr>
          <w:p>
            <w:pPr>
              <w:keepNext w:val="0"/>
              <w:keepLines w:val="0"/>
              <w:pageBreakBefore w:val="0"/>
              <w:kinsoku/>
              <w:wordWrap/>
              <w:overflowPunct/>
              <w:topLinePunct w:val="0"/>
              <w:autoSpaceDE/>
              <w:autoSpaceDN/>
              <w:bidi w:val="0"/>
              <w:spacing w:line="360" w:lineRule="auto"/>
              <w:ind w:left="0" w:leftChars="0"/>
              <w:rPr>
                <w:rFonts w:hint="eastAsia" w:ascii="仿宋" w:hAnsi="仿宋" w:eastAsia="仿宋" w:cs="仿宋"/>
                <w:sz w:val="18"/>
                <w:szCs w:val="18"/>
              </w:rPr>
            </w:pPr>
            <w:r>
              <w:rPr>
                <w:rFonts w:hint="eastAsia" w:ascii="仿宋" w:hAnsi="仿宋" w:eastAsia="仿宋" w:cs="仿宋"/>
                <w:color w:val="000000"/>
                <w:kern w:val="0"/>
                <w:sz w:val="18"/>
                <w:szCs w:val="18"/>
              </w:rPr>
              <w:t>钢结构防火（防火等级2.5h）</w:t>
            </w:r>
          </w:p>
        </w:tc>
        <w:tc>
          <w:tcPr>
            <w:tcW w:w="1048"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w:t>
            </w:r>
          </w:p>
        </w:tc>
        <w:tc>
          <w:tcPr>
            <w:tcW w:w="1699" w:type="dxa"/>
            <w:noWrap/>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sz w:val="18"/>
                <w:szCs w:val="18"/>
              </w:rPr>
            </w:pPr>
            <w:r>
              <w:rPr>
                <w:rFonts w:hint="eastAsia" w:ascii="仿宋" w:hAnsi="仿宋" w:eastAsia="仿宋" w:cs="仿宋"/>
                <w:color w:val="000000"/>
                <w:kern w:val="0"/>
                <w:sz w:val="18"/>
                <w:szCs w:val="18"/>
              </w:rPr>
              <w:t>19460</w:t>
            </w:r>
          </w:p>
        </w:tc>
        <w:tc>
          <w:tcPr>
            <w:tcW w:w="1705" w:type="dxa"/>
            <w:noWrap/>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sz w:val="18"/>
                <w:szCs w:val="18"/>
              </w:rPr>
            </w:pPr>
            <w:r>
              <w:rPr>
                <w:rFonts w:hint="eastAsia" w:ascii="仿宋" w:hAnsi="仿宋" w:eastAsia="仿宋" w:cs="仿宋"/>
                <w:color w:val="000000"/>
                <w:kern w:val="0"/>
                <w:sz w:val="18"/>
                <w:szCs w:val="18"/>
              </w:rPr>
              <w:t>91.46</w:t>
            </w:r>
          </w:p>
        </w:tc>
      </w:tr>
    </w:tbl>
    <w:p>
      <w:pPr>
        <w:keepNext w:val="0"/>
        <w:keepLines w:val="0"/>
        <w:pageBreakBefore w:val="0"/>
        <w:kinsoku/>
        <w:wordWrap/>
        <w:overflowPunct/>
        <w:topLinePunct w:val="0"/>
        <w:autoSpaceDE/>
        <w:autoSpaceDN/>
        <w:bidi w:val="0"/>
        <w:spacing w:line="360" w:lineRule="auto"/>
        <w:ind w:left="0" w:leftChars="0" w:firstLine="5880" w:firstLineChars="2450"/>
        <w:jc w:val="right"/>
        <w:rPr>
          <w:rFonts w:hint="eastAsia" w:ascii="仿宋" w:hAnsi="仿宋" w:eastAsia="仿宋" w:cs="仿宋"/>
          <w:sz w:val="24"/>
          <w:szCs w:val="24"/>
        </w:rPr>
      </w:pPr>
    </w:p>
    <w:p>
      <w:pPr>
        <w:keepNext w:val="0"/>
        <w:keepLines w:val="0"/>
        <w:pageBreakBefore w:val="0"/>
        <w:kinsoku/>
        <w:wordWrap/>
        <w:overflowPunct/>
        <w:topLinePunct w:val="0"/>
        <w:autoSpaceDE/>
        <w:autoSpaceDN/>
        <w:bidi w:val="0"/>
        <w:spacing w:line="360" w:lineRule="auto"/>
        <w:ind w:left="0" w:leftChars="0" w:firstLine="4080" w:firstLineChars="1700"/>
        <w:jc w:val="right"/>
        <w:rPr>
          <w:rFonts w:hint="eastAsia" w:ascii="仿宋" w:hAnsi="仿宋" w:eastAsia="仿宋" w:cs="仿宋"/>
          <w:sz w:val="24"/>
          <w:szCs w:val="24"/>
        </w:rPr>
      </w:pPr>
    </w:p>
    <w:p>
      <w:pPr>
        <w:keepNext w:val="0"/>
        <w:keepLines w:val="0"/>
        <w:pageBreakBefore w:val="0"/>
        <w:kinsoku/>
        <w:wordWrap/>
        <w:overflowPunct/>
        <w:topLinePunct w:val="0"/>
        <w:autoSpaceDE/>
        <w:autoSpaceDN/>
        <w:bidi w:val="0"/>
        <w:spacing w:line="360" w:lineRule="auto"/>
        <w:ind w:left="0" w:leftChars="0" w:firstLine="480"/>
        <w:rPr>
          <w:rFonts w:hint="eastAsia" w:ascii="仿宋" w:hAnsi="仿宋" w:eastAsia="仿宋" w:cs="仿宋"/>
          <w:sz w:val="24"/>
          <w:szCs w:val="24"/>
        </w:rPr>
      </w:pPr>
      <w:r>
        <w:rPr>
          <w:rFonts w:hint="eastAsia" w:ascii="仿宋" w:hAnsi="仿宋" w:eastAsia="仿宋" w:cs="仿宋"/>
          <w:b/>
          <w:sz w:val="24"/>
          <w:szCs w:val="24"/>
        </w:rPr>
        <w:t>例2：关于某垃圾电厂项目余热锅炉焊口数量大幅增加导致施工单位成本增加的调研报告</w:t>
      </w:r>
    </w:p>
    <w:p>
      <w:pPr>
        <w:keepNext w:val="0"/>
        <w:keepLines w:val="0"/>
        <w:pageBreakBefore w:val="0"/>
        <w:kinsoku/>
        <w:wordWrap/>
        <w:overflowPunct/>
        <w:topLinePunct w:val="0"/>
        <w:autoSpaceDE/>
        <w:autoSpaceDN/>
        <w:bidi w:val="0"/>
        <w:spacing w:line="360" w:lineRule="auto"/>
        <w:ind w:left="0" w:leftChars="0" w:firstLine="480" w:firstLineChars="200"/>
        <w:rPr>
          <w:rFonts w:hint="eastAsia" w:ascii="仿宋" w:hAnsi="仿宋" w:eastAsia="仿宋" w:cs="仿宋"/>
          <w:sz w:val="24"/>
          <w:szCs w:val="24"/>
        </w:rPr>
      </w:pPr>
      <w:r>
        <w:rPr>
          <w:rFonts w:hint="eastAsia" w:ascii="仿宋" w:hAnsi="仿宋" w:eastAsia="仿宋" w:cs="仿宋"/>
          <w:sz w:val="24"/>
          <w:szCs w:val="24"/>
        </w:rPr>
        <w:t>自2017年10月</w:t>
      </w:r>
      <w:r>
        <w:rPr>
          <w:rFonts w:hint="eastAsia" w:ascii="仿宋" w:hAnsi="仿宋" w:eastAsia="仿宋" w:cs="仿宋"/>
          <w:sz w:val="24"/>
          <w:szCs w:val="24"/>
          <w:lang w:val="en-US" w:eastAsia="zh-CN"/>
        </w:rPr>
        <w:t>该</w:t>
      </w:r>
      <w:r>
        <w:rPr>
          <w:rFonts w:hint="eastAsia" w:ascii="仿宋" w:hAnsi="仿宋" w:eastAsia="仿宋" w:cs="仿宋"/>
          <w:sz w:val="24"/>
          <w:szCs w:val="24"/>
        </w:rPr>
        <w:t>主体工程锅炉开始安装以来，</w:t>
      </w:r>
      <w:r>
        <w:rPr>
          <w:rFonts w:hint="eastAsia" w:ascii="仿宋" w:hAnsi="仿宋" w:eastAsia="仿宋" w:cs="仿宋"/>
          <w:sz w:val="24"/>
          <w:szCs w:val="24"/>
          <w:lang w:val="en-US" w:eastAsia="zh-CN"/>
        </w:rPr>
        <w:t>该</w:t>
      </w:r>
      <w:r>
        <w:rPr>
          <w:rFonts w:hint="eastAsia" w:ascii="仿宋" w:hAnsi="仿宋" w:eastAsia="仿宋" w:cs="仿宋"/>
          <w:sz w:val="24"/>
          <w:szCs w:val="24"/>
        </w:rPr>
        <w:t>主体施工单位某公司多次在项目协调会上提出余热锅炉焊口数量大幅增加，导致人工、辅材、焊材、起重机械、水平运输机械、金属检测等现场组合焊接资源投入大幅增加，延长了余热锅炉工期，造成成本大幅增加，产生了巨额亏损，无力承担，要求建设单位给予补偿。</w:t>
      </w:r>
    </w:p>
    <w:p>
      <w:pPr>
        <w:keepNext w:val="0"/>
        <w:keepLines w:val="0"/>
        <w:pageBreakBefore w:val="0"/>
        <w:kinsoku/>
        <w:wordWrap/>
        <w:overflowPunct/>
        <w:topLinePunct w:val="0"/>
        <w:autoSpaceDE/>
        <w:autoSpaceDN/>
        <w:bidi w:val="0"/>
        <w:spacing w:line="360" w:lineRule="auto"/>
        <w:ind w:left="0" w:leftChars="0" w:firstLine="480" w:firstLineChars="200"/>
        <w:rPr>
          <w:rFonts w:hint="eastAsia" w:ascii="仿宋" w:hAnsi="仿宋" w:eastAsia="仿宋" w:cs="仿宋"/>
          <w:sz w:val="24"/>
          <w:szCs w:val="24"/>
        </w:rPr>
      </w:pPr>
      <w:r>
        <w:rPr>
          <w:rFonts w:hint="eastAsia" w:ascii="仿宋" w:hAnsi="仿宋" w:eastAsia="仿宋" w:cs="仿宋"/>
          <w:sz w:val="24"/>
          <w:szCs w:val="24"/>
        </w:rPr>
        <w:t>受</w:t>
      </w:r>
      <w:r>
        <w:rPr>
          <w:rFonts w:hint="eastAsia" w:ascii="仿宋" w:hAnsi="仿宋" w:eastAsia="仿宋" w:cs="仿宋"/>
          <w:sz w:val="24"/>
          <w:szCs w:val="24"/>
          <w:lang w:val="en-US" w:eastAsia="zh-CN"/>
        </w:rPr>
        <w:t>业主</w:t>
      </w:r>
      <w:r>
        <w:rPr>
          <w:rFonts w:hint="eastAsia" w:ascii="仿宋" w:hAnsi="仿宋" w:eastAsia="仿宋" w:cs="仿宋"/>
          <w:sz w:val="24"/>
          <w:szCs w:val="24"/>
        </w:rPr>
        <w:t>委托,我们对</w:t>
      </w:r>
      <w:r>
        <w:rPr>
          <w:rFonts w:hint="eastAsia" w:ascii="仿宋" w:hAnsi="仿宋" w:eastAsia="仿宋" w:cs="仿宋"/>
          <w:sz w:val="24"/>
          <w:szCs w:val="24"/>
          <w:lang w:val="en-US" w:eastAsia="zh-CN"/>
        </w:rPr>
        <w:t>该</w:t>
      </w:r>
      <w:r>
        <w:rPr>
          <w:rFonts w:hint="eastAsia" w:ascii="仿宋" w:hAnsi="仿宋" w:eastAsia="仿宋" w:cs="仿宋"/>
          <w:sz w:val="24"/>
          <w:szCs w:val="24"/>
        </w:rPr>
        <w:t>项目主体标段建筑安装工程中余热锅炉焊口数量大幅增加的情况分析，结合实际同类型锅炉焊口数量及市场价格水平进行对比调研，现将调研情况报告如下：</w:t>
      </w:r>
    </w:p>
    <w:p>
      <w:pPr>
        <w:pStyle w:val="3"/>
        <w:keepNext w:val="0"/>
        <w:keepLines w:val="0"/>
        <w:pageBreakBefore w:val="0"/>
        <w:kinsoku/>
        <w:wordWrap/>
        <w:overflowPunct/>
        <w:topLinePunct w:val="0"/>
        <w:autoSpaceDE/>
        <w:autoSpaceDN/>
        <w:bidi w:val="0"/>
        <w:spacing w:line="360" w:lineRule="auto"/>
        <w:ind w:left="0" w:leftChars="0" w:firstLine="482" w:firstLineChars="200"/>
        <w:rPr>
          <w:rFonts w:hint="eastAsia" w:ascii="仿宋" w:hAnsi="仿宋" w:eastAsia="仿宋" w:cs="仿宋"/>
          <w:b/>
          <w:bCs/>
          <w:sz w:val="24"/>
          <w:szCs w:val="24"/>
        </w:rPr>
      </w:pPr>
      <w:r>
        <w:rPr>
          <w:rFonts w:hint="eastAsia" w:ascii="仿宋" w:hAnsi="仿宋" w:eastAsia="仿宋" w:cs="仿宋"/>
          <w:b/>
          <w:bCs/>
          <w:sz w:val="24"/>
          <w:szCs w:val="24"/>
        </w:rPr>
        <w:t>一、余热锅炉相关情况概述</w:t>
      </w:r>
    </w:p>
    <w:p>
      <w:pPr>
        <w:keepNext w:val="0"/>
        <w:keepLines w:val="0"/>
        <w:pageBreakBefore w:val="0"/>
        <w:kinsoku/>
        <w:wordWrap/>
        <w:overflowPunct/>
        <w:topLinePunct w:val="0"/>
        <w:autoSpaceDE/>
        <w:autoSpaceDN/>
        <w:bidi w:val="0"/>
        <w:spacing w:line="360" w:lineRule="auto"/>
        <w:ind w:left="0" w:leftChars="0"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略</w:t>
      </w:r>
      <w:r>
        <w:rPr>
          <w:rFonts w:hint="eastAsia" w:ascii="仿宋" w:hAnsi="仿宋" w:eastAsia="仿宋" w:cs="仿宋"/>
          <w:sz w:val="24"/>
          <w:szCs w:val="24"/>
          <w:lang w:eastAsia="zh-CN"/>
        </w:rPr>
        <w:t>）</w:t>
      </w:r>
    </w:p>
    <w:p>
      <w:pPr>
        <w:keepNext w:val="0"/>
        <w:keepLines w:val="0"/>
        <w:pageBreakBefore w:val="0"/>
        <w:kinsoku/>
        <w:wordWrap/>
        <w:overflowPunct/>
        <w:topLinePunct w:val="0"/>
        <w:autoSpaceDE/>
        <w:autoSpaceDN/>
        <w:bidi w:val="0"/>
        <w:spacing w:line="360" w:lineRule="auto"/>
        <w:ind w:left="0" w:leftChars="0" w:firstLine="482" w:firstLineChars="200"/>
        <w:rPr>
          <w:rFonts w:hint="eastAsia" w:ascii="仿宋" w:hAnsi="仿宋" w:eastAsia="仿宋" w:cs="仿宋"/>
          <w:sz w:val="24"/>
          <w:szCs w:val="24"/>
        </w:rPr>
      </w:pPr>
      <w:r>
        <w:rPr>
          <w:rFonts w:hint="eastAsia" w:ascii="仿宋" w:hAnsi="仿宋" w:eastAsia="仿宋" w:cs="仿宋"/>
          <w:b/>
          <w:bCs/>
          <w:sz w:val="24"/>
          <w:szCs w:val="24"/>
        </w:rPr>
        <w:t>二、各不同项目项目余热锅炉焊口数量对比</w:t>
      </w:r>
    </w:p>
    <w:p>
      <w:pPr>
        <w:keepNext w:val="0"/>
        <w:keepLines w:val="0"/>
        <w:pageBreakBefore w:val="0"/>
        <w:kinsoku/>
        <w:wordWrap/>
        <w:overflowPunct/>
        <w:topLinePunct w:val="0"/>
        <w:autoSpaceDE/>
        <w:autoSpaceDN/>
        <w:bidi w:val="0"/>
        <w:spacing w:line="360" w:lineRule="auto"/>
        <w:ind w:left="0" w:leftChars="0" w:firstLine="480" w:firstLineChars="200"/>
        <w:rPr>
          <w:rFonts w:hint="eastAsia" w:ascii="仿宋" w:hAnsi="仿宋" w:eastAsia="仿宋" w:cs="仿宋"/>
          <w:sz w:val="24"/>
          <w:szCs w:val="24"/>
        </w:rPr>
      </w:pPr>
      <w:r>
        <w:rPr>
          <w:rFonts w:hint="eastAsia" w:ascii="仿宋" w:hAnsi="仿宋" w:eastAsia="仿宋" w:cs="仿宋"/>
          <w:sz w:val="24"/>
          <w:szCs w:val="24"/>
        </w:rPr>
        <w:t>1.五个项目锅炉设计制造单位和焊口情况对比</w:t>
      </w:r>
    </w:p>
    <w:p>
      <w:pPr>
        <w:keepNext w:val="0"/>
        <w:keepLines w:val="0"/>
        <w:pageBreakBefore w:val="0"/>
        <w:kinsoku/>
        <w:wordWrap/>
        <w:overflowPunct/>
        <w:topLinePunct w:val="0"/>
        <w:autoSpaceDE/>
        <w:autoSpaceDN/>
        <w:bidi w:val="0"/>
        <w:spacing w:line="360" w:lineRule="auto"/>
        <w:ind w:left="0" w:leftChars="0" w:firstLine="360" w:firstLineChars="150"/>
        <w:rPr>
          <w:rFonts w:hint="eastAsia" w:ascii="仿宋" w:hAnsi="仿宋" w:eastAsia="仿宋" w:cs="仿宋"/>
          <w:sz w:val="24"/>
          <w:szCs w:val="24"/>
        </w:rPr>
      </w:pPr>
      <w:r>
        <w:rPr>
          <w:rFonts w:hint="eastAsia" w:ascii="仿宋" w:hAnsi="仿宋" w:eastAsia="仿宋" w:cs="仿宋"/>
          <w:sz w:val="24"/>
          <w:szCs w:val="24"/>
        </w:rPr>
        <w:t>（1）某二期750t/d垃圾焚烧机械炉排炉项目，采用比利时西格斯的技术和初步设计，由某公司设计制造，技术参数为71t/h，每台余热锅炉焊口数量6491道（不含锅炉小口径管道）。</w:t>
      </w:r>
    </w:p>
    <w:p>
      <w:pPr>
        <w:keepNext w:val="0"/>
        <w:keepLines w:val="0"/>
        <w:pageBreakBefore w:val="0"/>
        <w:kinsoku/>
        <w:wordWrap/>
        <w:overflowPunct/>
        <w:topLinePunct w:val="0"/>
        <w:autoSpaceDE/>
        <w:autoSpaceDN/>
        <w:bidi w:val="0"/>
        <w:spacing w:line="360" w:lineRule="auto"/>
        <w:ind w:left="0" w:leftChars="0" w:firstLine="360" w:firstLineChars="150"/>
        <w:rPr>
          <w:rFonts w:hint="eastAsia" w:ascii="仿宋" w:hAnsi="仿宋" w:eastAsia="仿宋" w:cs="仿宋"/>
          <w:sz w:val="24"/>
          <w:szCs w:val="24"/>
        </w:rPr>
      </w:pPr>
      <w:r>
        <w:rPr>
          <w:rFonts w:hint="eastAsia" w:ascii="仿宋" w:hAnsi="仿宋" w:eastAsia="仿宋" w:cs="仿宋"/>
          <w:sz w:val="24"/>
          <w:szCs w:val="24"/>
        </w:rPr>
        <w:t>（2）某二期750t/d垃圾焚烧机械炉排炉项目，采用比利时西格斯的技术和初步设计，由某公司设计制造，技术参数为103.22t/h，每台余热锅炉焊口数量约11500道（不含锅炉小口径管道）。</w:t>
      </w:r>
    </w:p>
    <w:p>
      <w:pPr>
        <w:keepNext w:val="0"/>
        <w:keepLines w:val="0"/>
        <w:pageBreakBefore w:val="0"/>
        <w:kinsoku/>
        <w:wordWrap/>
        <w:overflowPunct/>
        <w:topLinePunct w:val="0"/>
        <w:autoSpaceDE/>
        <w:autoSpaceDN/>
        <w:bidi w:val="0"/>
        <w:spacing w:line="360" w:lineRule="auto"/>
        <w:ind w:left="0" w:leftChars="0" w:firstLine="360" w:firstLineChars="150"/>
        <w:rPr>
          <w:rFonts w:hint="eastAsia" w:ascii="仿宋" w:hAnsi="仿宋" w:eastAsia="仿宋" w:cs="仿宋"/>
          <w:sz w:val="24"/>
          <w:szCs w:val="24"/>
        </w:rPr>
      </w:pPr>
      <w:r>
        <w:rPr>
          <w:rFonts w:hint="eastAsia" w:ascii="仿宋" w:hAnsi="仿宋" w:eastAsia="仿宋" w:cs="仿宋"/>
          <w:sz w:val="24"/>
          <w:szCs w:val="24"/>
        </w:rPr>
        <w:t>（3）东部850t/d机械炉排垃圾焚烧炉项目，采用丹麦技术和初步设计，由某公司设计制造，技术参数为105.67t/h，每台余热锅炉焊口数量约为6753道（不含锅炉小口径管道）。</w:t>
      </w:r>
    </w:p>
    <w:p>
      <w:pPr>
        <w:keepNext w:val="0"/>
        <w:keepLines w:val="0"/>
        <w:pageBreakBefore w:val="0"/>
        <w:kinsoku/>
        <w:wordWrap/>
        <w:overflowPunct/>
        <w:topLinePunct w:val="0"/>
        <w:autoSpaceDE/>
        <w:autoSpaceDN/>
        <w:bidi w:val="0"/>
        <w:spacing w:line="360" w:lineRule="auto"/>
        <w:ind w:left="0" w:leftChars="0" w:firstLine="360" w:firstLineChars="150"/>
        <w:rPr>
          <w:rFonts w:hint="eastAsia" w:ascii="仿宋" w:hAnsi="仿宋" w:eastAsia="仿宋" w:cs="仿宋"/>
          <w:sz w:val="24"/>
          <w:szCs w:val="24"/>
        </w:rPr>
      </w:pPr>
      <w:r>
        <w:rPr>
          <w:rFonts w:hint="eastAsia" w:ascii="仿宋" w:hAnsi="仿宋" w:eastAsia="仿宋" w:cs="仿宋"/>
          <w:sz w:val="24"/>
          <w:szCs w:val="24"/>
        </w:rPr>
        <w:t>（4）某市生活垃圾望城850t/d机械炉排垃圾焚烧炉项目，采用</w:t>
      </w:r>
      <w:r>
        <w:rPr>
          <w:rFonts w:hint="eastAsia" w:ascii="仿宋" w:hAnsi="仿宋" w:eastAsia="仿宋" w:cs="仿宋"/>
          <w:sz w:val="24"/>
          <w:szCs w:val="24"/>
          <w:lang w:val="zh-CN"/>
        </w:rPr>
        <w:t>日本日立造船（Hitachi Zosen）往复式机械炉排炉技术和初步设计，由某公司</w:t>
      </w:r>
      <w:r>
        <w:rPr>
          <w:rFonts w:hint="eastAsia" w:ascii="仿宋" w:hAnsi="仿宋" w:eastAsia="仿宋" w:cs="仿宋"/>
          <w:sz w:val="24"/>
          <w:szCs w:val="24"/>
        </w:rPr>
        <w:t>设计制造</w:t>
      </w:r>
      <w:r>
        <w:rPr>
          <w:rFonts w:hint="eastAsia" w:ascii="仿宋" w:hAnsi="仿宋" w:eastAsia="仿宋" w:cs="仿宋"/>
          <w:sz w:val="24"/>
          <w:szCs w:val="24"/>
          <w:lang w:val="zh-CN"/>
        </w:rPr>
        <w:t>，焊口数量为</w:t>
      </w:r>
      <w:r>
        <w:rPr>
          <w:rFonts w:hint="eastAsia" w:ascii="仿宋" w:hAnsi="仿宋" w:eastAsia="仿宋" w:cs="仿宋"/>
          <w:sz w:val="24"/>
          <w:szCs w:val="24"/>
        </w:rPr>
        <w:t>6410道。</w:t>
      </w:r>
    </w:p>
    <w:p>
      <w:pPr>
        <w:keepNext w:val="0"/>
        <w:keepLines w:val="0"/>
        <w:pageBreakBefore w:val="0"/>
        <w:kinsoku/>
        <w:wordWrap/>
        <w:overflowPunct/>
        <w:topLinePunct w:val="0"/>
        <w:autoSpaceDE/>
        <w:autoSpaceDN/>
        <w:bidi w:val="0"/>
        <w:spacing w:line="360" w:lineRule="auto"/>
        <w:ind w:left="0" w:leftChars="0" w:firstLine="360" w:firstLineChars="150"/>
        <w:rPr>
          <w:rFonts w:hint="eastAsia" w:ascii="仿宋" w:hAnsi="仿宋" w:eastAsia="仿宋" w:cs="仿宋"/>
          <w:sz w:val="24"/>
          <w:szCs w:val="24"/>
        </w:rPr>
      </w:pPr>
      <w:r>
        <w:rPr>
          <w:rFonts w:hint="eastAsia" w:ascii="仿宋" w:hAnsi="仿宋" w:eastAsia="仿宋" w:cs="仿宋"/>
          <w:sz w:val="24"/>
          <w:szCs w:val="24"/>
        </w:rPr>
        <w:t>（5）</w:t>
      </w:r>
      <w:r>
        <w:rPr>
          <w:rFonts w:hint="eastAsia" w:ascii="仿宋" w:hAnsi="仿宋" w:eastAsia="仿宋" w:cs="仿宋"/>
          <w:sz w:val="24"/>
          <w:szCs w:val="24"/>
          <w:lang w:val="en-US" w:eastAsia="zh-CN"/>
        </w:rPr>
        <w:t>该</w:t>
      </w:r>
      <w:r>
        <w:rPr>
          <w:rFonts w:hint="eastAsia" w:ascii="仿宋" w:hAnsi="仿宋" w:eastAsia="仿宋" w:cs="仿宋"/>
          <w:sz w:val="24"/>
          <w:szCs w:val="24"/>
        </w:rPr>
        <w:t>850t/d机械炉排垃圾焚烧炉项目，采用比利时西格斯的技术和初步设计，由某公司设计制造，技术参数为109t/h，按目前已安装完的数据统计，每台余热锅炉焊口数量为11524道（不含锅炉小口径管道）。</w:t>
      </w:r>
    </w:p>
    <w:p>
      <w:pPr>
        <w:keepNext w:val="0"/>
        <w:keepLines w:val="0"/>
        <w:pageBreakBefore w:val="0"/>
        <w:kinsoku/>
        <w:wordWrap/>
        <w:overflowPunct/>
        <w:topLinePunct w:val="0"/>
        <w:autoSpaceDE/>
        <w:autoSpaceDN/>
        <w:bidi w:val="0"/>
        <w:spacing w:line="360" w:lineRule="auto"/>
        <w:ind w:left="0" w:leftChars="0"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该</w:t>
      </w:r>
      <w:r>
        <w:rPr>
          <w:rFonts w:hint="eastAsia" w:ascii="仿宋" w:hAnsi="仿宋" w:eastAsia="仿宋" w:cs="仿宋"/>
          <w:sz w:val="24"/>
          <w:szCs w:val="24"/>
        </w:rPr>
        <w:t>余热锅炉焊口数量对比表如下：</w:t>
      </w:r>
    </w:p>
    <w:p>
      <w:pPr>
        <w:keepNext w:val="0"/>
        <w:keepLines w:val="0"/>
        <w:pageBreakBefore w:val="0"/>
        <w:kinsoku/>
        <w:wordWrap/>
        <w:overflowPunct/>
        <w:topLinePunct w:val="0"/>
        <w:autoSpaceDE/>
        <w:autoSpaceDN/>
        <w:bidi w:val="0"/>
        <w:spacing w:line="360" w:lineRule="auto"/>
        <w:ind w:left="0" w:leftChars="0" w:firstLine="420" w:firstLineChars="200"/>
        <w:jc w:val="center"/>
        <w:rPr>
          <w:rFonts w:hint="eastAsia" w:ascii="仿宋" w:hAnsi="仿宋" w:eastAsia="仿宋" w:cs="仿宋"/>
          <w:szCs w:val="21"/>
        </w:rPr>
      </w:pPr>
      <w:r>
        <w:rPr>
          <w:rFonts w:hint="eastAsia" w:ascii="仿宋" w:hAnsi="仿宋" w:eastAsia="仿宋" w:cs="仿宋"/>
          <w:szCs w:val="21"/>
        </w:rPr>
        <w:t>表</w:t>
      </w:r>
      <w:r>
        <w:rPr>
          <w:rFonts w:hint="eastAsia" w:ascii="仿宋" w:hAnsi="仿宋" w:eastAsia="仿宋" w:cs="仿宋"/>
          <w:szCs w:val="21"/>
          <w:lang w:val="en-US" w:eastAsia="zh-CN"/>
        </w:rPr>
        <w:t>9</w:t>
      </w:r>
      <w:r>
        <w:rPr>
          <w:rFonts w:hint="eastAsia" w:ascii="仿宋" w:hAnsi="仿宋" w:eastAsia="仿宋" w:cs="仿宋"/>
          <w:szCs w:val="21"/>
        </w:rPr>
        <w:t xml:space="preserve">  不同技术路线同规模余热锅炉焊口数对比</w:t>
      </w:r>
    </w:p>
    <w:tbl>
      <w:tblPr>
        <w:tblStyle w:val="9"/>
        <w:tblW w:w="9156" w:type="dxa"/>
        <w:tblInd w:w="0" w:type="dxa"/>
        <w:tblLayout w:type="fixed"/>
        <w:tblCellMar>
          <w:top w:w="15" w:type="dxa"/>
          <w:left w:w="15" w:type="dxa"/>
          <w:bottom w:w="15" w:type="dxa"/>
          <w:right w:w="15" w:type="dxa"/>
        </w:tblCellMar>
      </w:tblPr>
      <w:tblGrid>
        <w:gridCol w:w="884"/>
        <w:gridCol w:w="1335"/>
        <w:gridCol w:w="2603"/>
        <w:gridCol w:w="1328"/>
        <w:gridCol w:w="1772"/>
        <w:gridCol w:w="1234"/>
      </w:tblGrid>
      <w:tr>
        <w:tblPrEx>
          <w:tblLayout w:type="fixed"/>
          <w:tblCellMar>
            <w:top w:w="15" w:type="dxa"/>
            <w:left w:w="15" w:type="dxa"/>
            <w:bottom w:w="15" w:type="dxa"/>
            <w:right w:w="15" w:type="dxa"/>
          </w:tblCellMar>
        </w:tblPrEx>
        <w:trPr>
          <w:trHeight w:val="644" w:hRule="atLeast"/>
        </w:trPr>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序号</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项目名称</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技术路线和主要参数</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锅炉生产厂家</w:t>
            </w:r>
          </w:p>
        </w:tc>
        <w:tc>
          <w:tcPr>
            <w:tcW w:w="1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焊口数量（不含锅炉小口径管道）</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备注</w:t>
            </w:r>
          </w:p>
        </w:tc>
      </w:tr>
      <w:tr>
        <w:tblPrEx>
          <w:tblLayout w:type="fixed"/>
          <w:tblCellMar>
            <w:top w:w="15" w:type="dxa"/>
            <w:left w:w="15" w:type="dxa"/>
            <w:bottom w:w="15" w:type="dxa"/>
            <w:right w:w="15" w:type="dxa"/>
          </w:tblCellMar>
        </w:tblPrEx>
        <w:trPr>
          <w:trHeight w:val="542" w:hRule="atLeast"/>
        </w:trPr>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1</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东部项目</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丹麦技术，850t/d垃圾焚烧机械炉排炉</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锅炉厂1</w:t>
            </w:r>
          </w:p>
        </w:tc>
        <w:tc>
          <w:tcPr>
            <w:tcW w:w="1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6753</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r>
      <w:tr>
        <w:tblPrEx>
          <w:tblLayout w:type="fixed"/>
          <w:tblCellMar>
            <w:top w:w="15" w:type="dxa"/>
            <w:left w:w="15" w:type="dxa"/>
            <w:bottom w:w="15" w:type="dxa"/>
            <w:right w:w="15" w:type="dxa"/>
          </w:tblCellMar>
        </w:tblPrEx>
        <w:trPr>
          <w:trHeight w:val="705" w:hRule="atLeast"/>
        </w:trPr>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2</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某市生活垃圾望城850t/d项目</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日本日立造船技术，850t/d垃圾焚烧机械炉排炉</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锅炉厂2</w:t>
            </w:r>
          </w:p>
        </w:tc>
        <w:tc>
          <w:tcPr>
            <w:tcW w:w="1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6410</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调研数据</w:t>
            </w:r>
          </w:p>
        </w:tc>
      </w:tr>
      <w:tr>
        <w:tblPrEx>
          <w:tblLayout w:type="fixed"/>
          <w:tblCellMar>
            <w:top w:w="15" w:type="dxa"/>
            <w:left w:w="15" w:type="dxa"/>
            <w:bottom w:w="15" w:type="dxa"/>
            <w:right w:w="15" w:type="dxa"/>
          </w:tblCellMar>
        </w:tblPrEx>
        <w:trPr>
          <w:trHeight w:val="635" w:hRule="atLeast"/>
        </w:trPr>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3</w:t>
            </w:r>
          </w:p>
        </w:tc>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eastAsia="zh-CN"/>
              </w:rPr>
              <w:t>该</w:t>
            </w:r>
            <w:r>
              <w:rPr>
                <w:rFonts w:hint="eastAsia" w:ascii="仿宋" w:hAnsi="仿宋" w:eastAsia="仿宋" w:cs="仿宋"/>
                <w:color w:val="000000"/>
                <w:sz w:val="18"/>
                <w:szCs w:val="18"/>
              </w:rPr>
              <w:t>项目</w:t>
            </w:r>
          </w:p>
        </w:tc>
        <w:tc>
          <w:tcPr>
            <w:tcW w:w="26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比利时西格斯，850t/d垃圾焚烧机械炉排炉</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锅炉厂3</w:t>
            </w:r>
          </w:p>
        </w:tc>
        <w:tc>
          <w:tcPr>
            <w:tcW w:w="17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11524</w:t>
            </w:r>
          </w:p>
        </w:tc>
        <w:tc>
          <w:tcPr>
            <w:tcW w:w="12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r>
    </w:tbl>
    <w:p>
      <w:pPr>
        <w:keepNext w:val="0"/>
        <w:keepLines w:val="0"/>
        <w:pageBreakBefore w:val="0"/>
        <w:kinsoku/>
        <w:wordWrap/>
        <w:overflowPunct/>
        <w:topLinePunct w:val="0"/>
        <w:autoSpaceDE/>
        <w:autoSpaceDN/>
        <w:bidi w:val="0"/>
        <w:spacing w:line="360" w:lineRule="auto"/>
        <w:ind w:left="0" w:leftChars="0" w:firstLine="420" w:firstLineChars="200"/>
        <w:jc w:val="center"/>
        <w:rPr>
          <w:rFonts w:hint="eastAsia" w:ascii="仿宋" w:hAnsi="仿宋" w:eastAsia="仿宋" w:cs="仿宋"/>
          <w:szCs w:val="21"/>
        </w:rPr>
      </w:pPr>
      <w:r>
        <w:rPr>
          <w:rFonts w:hint="eastAsia" w:ascii="仿宋" w:hAnsi="仿宋" w:eastAsia="仿宋" w:cs="仿宋"/>
          <w:szCs w:val="21"/>
        </w:rPr>
        <w:t>表</w:t>
      </w:r>
      <w:r>
        <w:rPr>
          <w:rFonts w:hint="eastAsia" w:ascii="仿宋" w:hAnsi="仿宋" w:eastAsia="仿宋" w:cs="仿宋"/>
          <w:szCs w:val="21"/>
          <w:lang w:val="en-US" w:eastAsia="zh-CN"/>
        </w:rPr>
        <w:t>10</w:t>
      </w:r>
      <w:r>
        <w:rPr>
          <w:rFonts w:hint="eastAsia" w:ascii="仿宋" w:hAnsi="仿宋" w:eastAsia="仿宋" w:cs="仿宋"/>
          <w:szCs w:val="21"/>
        </w:rPr>
        <w:t xml:space="preserve">  同技术路线同规模余热锅炉焊口数对比</w:t>
      </w:r>
    </w:p>
    <w:tbl>
      <w:tblPr>
        <w:tblStyle w:val="9"/>
        <w:tblW w:w="9284" w:type="dxa"/>
        <w:tblInd w:w="0" w:type="dxa"/>
        <w:tblLayout w:type="fixed"/>
        <w:tblCellMar>
          <w:top w:w="15" w:type="dxa"/>
          <w:left w:w="15" w:type="dxa"/>
          <w:bottom w:w="15" w:type="dxa"/>
          <w:right w:w="15" w:type="dxa"/>
        </w:tblCellMar>
      </w:tblPr>
      <w:tblGrid>
        <w:gridCol w:w="884"/>
        <w:gridCol w:w="1388"/>
        <w:gridCol w:w="2534"/>
        <w:gridCol w:w="1400"/>
        <w:gridCol w:w="1716"/>
        <w:gridCol w:w="1362"/>
      </w:tblGrid>
      <w:tr>
        <w:tblPrEx>
          <w:tblLayout w:type="fixed"/>
          <w:tblCellMar>
            <w:top w:w="15" w:type="dxa"/>
            <w:left w:w="15" w:type="dxa"/>
            <w:bottom w:w="15" w:type="dxa"/>
            <w:right w:w="15" w:type="dxa"/>
          </w:tblCellMar>
        </w:tblPrEx>
        <w:trPr>
          <w:trHeight w:val="555" w:hRule="atLeast"/>
        </w:trPr>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序号</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项目名称</w:t>
            </w:r>
          </w:p>
        </w:tc>
        <w:tc>
          <w:tcPr>
            <w:tcW w:w="2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技术路线和主要参数</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锅炉生产厂家</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焊口数量（不含锅炉小口径管道）</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备注</w:t>
            </w:r>
          </w:p>
        </w:tc>
      </w:tr>
      <w:tr>
        <w:tblPrEx>
          <w:tblLayout w:type="fixed"/>
          <w:tblCellMar>
            <w:top w:w="15" w:type="dxa"/>
            <w:left w:w="15" w:type="dxa"/>
            <w:bottom w:w="15" w:type="dxa"/>
            <w:right w:w="15" w:type="dxa"/>
          </w:tblCellMar>
        </w:tblPrEx>
        <w:trPr>
          <w:trHeight w:val="705" w:hRule="atLeast"/>
        </w:trPr>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1</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某二期项目</w:t>
            </w:r>
          </w:p>
        </w:tc>
        <w:tc>
          <w:tcPr>
            <w:tcW w:w="2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比利时西格斯，750t/d垃圾焚烧机械炉排炉</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锅炉厂4</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6491</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r>
      <w:tr>
        <w:tblPrEx>
          <w:tblLayout w:type="fixed"/>
          <w:tblCellMar>
            <w:top w:w="15" w:type="dxa"/>
            <w:left w:w="15" w:type="dxa"/>
            <w:bottom w:w="15" w:type="dxa"/>
            <w:right w:w="15" w:type="dxa"/>
          </w:tblCellMar>
        </w:tblPrEx>
        <w:trPr>
          <w:trHeight w:val="705" w:hRule="atLeast"/>
        </w:trPr>
        <w:tc>
          <w:tcPr>
            <w:tcW w:w="8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2</w:t>
            </w:r>
          </w:p>
        </w:tc>
        <w:tc>
          <w:tcPr>
            <w:tcW w:w="13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某二期项目</w:t>
            </w:r>
          </w:p>
        </w:tc>
        <w:tc>
          <w:tcPr>
            <w:tcW w:w="25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比利时西格斯，750t/d垃圾焚烧机械炉排炉</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锅炉厂5</w:t>
            </w:r>
          </w:p>
        </w:tc>
        <w:tc>
          <w:tcPr>
            <w:tcW w:w="1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360" w:lineRule="auto"/>
              <w:ind w:left="0" w:leftChars="0"/>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11500</w:t>
            </w:r>
          </w:p>
        </w:tc>
        <w:tc>
          <w:tcPr>
            <w:tcW w:w="13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color w:val="000000"/>
                <w:sz w:val="18"/>
                <w:szCs w:val="18"/>
              </w:rPr>
            </w:pPr>
          </w:p>
        </w:tc>
      </w:tr>
    </w:tbl>
    <w:p>
      <w:pPr>
        <w:keepNext w:val="0"/>
        <w:keepLines w:val="0"/>
        <w:pageBreakBefore w:val="0"/>
        <w:kinsoku/>
        <w:wordWrap/>
        <w:overflowPunct/>
        <w:topLinePunct w:val="0"/>
        <w:autoSpaceDE/>
        <w:autoSpaceDN/>
        <w:bidi w:val="0"/>
        <w:spacing w:line="360" w:lineRule="auto"/>
        <w:ind w:left="0" w:leftChars="0" w:firstLine="482" w:firstLineChars="200"/>
        <w:rPr>
          <w:rFonts w:hint="eastAsia" w:ascii="仿宋" w:hAnsi="仿宋" w:eastAsia="仿宋" w:cs="仿宋"/>
          <w:sz w:val="24"/>
          <w:szCs w:val="24"/>
        </w:rPr>
      </w:pPr>
      <w:r>
        <w:rPr>
          <w:rFonts w:hint="eastAsia" w:ascii="仿宋" w:hAnsi="仿宋" w:eastAsia="仿宋" w:cs="仿宋"/>
          <w:b/>
          <w:bCs/>
          <w:sz w:val="24"/>
          <w:szCs w:val="24"/>
        </w:rPr>
        <w:t>对比情况说明</w:t>
      </w:r>
      <w:r>
        <w:rPr>
          <w:rFonts w:hint="eastAsia" w:ascii="仿宋" w:hAnsi="仿宋" w:eastAsia="仿宋" w:cs="仿宋"/>
          <w:sz w:val="24"/>
          <w:szCs w:val="24"/>
        </w:rPr>
        <w:t>：</w:t>
      </w:r>
    </w:p>
    <w:p>
      <w:pPr>
        <w:keepNext w:val="0"/>
        <w:keepLines w:val="0"/>
        <w:pageBreakBefore w:val="0"/>
        <w:kinsoku/>
        <w:wordWrap/>
        <w:overflowPunct/>
        <w:topLinePunct w:val="0"/>
        <w:autoSpaceDE/>
        <w:autoSpaceDN/>
        <w:bidi w:val="0"/>
        <w:spacing w:line="360" w:lineRule="auto"/>
        <w:ind w:left="0" w:leftChars="0" w:firstLine="480" w:firstLineChars="200"/>
        <w:rPr>
          <w:rFonts w:hint="eastAsia" w:ascii="仿宋" w:hAnsi="仿宋" w:eastAsia="仿宋" w:cs="仿宋"/>
          <w:sz w:val="24"/>
          <w:szCs w:val="24"/>
        </w:rPr>
      </w:pPr>
      <w:r>
        <w:rPr>
          <w:rFonts w:hint="eastAsia" w:ascii="仿宋" w:hAnsi="仿宋" w:eastAsia="仿宋" w:cs="仿宋"/>
          <w:sz w:val="24"/>
          <w:szCs w:val="24"/>
        </w:rPr>
        <w:t>从表</w:t>
      </w:r>
      <w:r>
        <w:rPr>
          <w:rFonts w:hint="eastAsia" w:ascii="仿宋" w:hAnsi="仿宋" w:eastAsia="仿宋" w:cs="仿宋"/>
          <w:sz w:val="24"/>
          <w:szCs w:val="24"/>
          <w:lang w:val="en-US" w:eastAsia="zh-CN"/>
        </w:rPr>
        <w:t>9</w:t>
      </w:r>
      <w:r>
        <w:rPr>
          <w:rFonts w:hint="eastAsia" w:ascii="仿宋" w:hAnsi="仿宋" w:eastAsia="仿宋" w:cs="仿宋"/>
          <w:sz w:val="24"/>
          <w:szCs w:val="24"/>
        </w:rPr>
        <w:t>可以发现：</w:t>
      </w:r>
      <w:r>
        <w:rPr>
          <w:rFonts w:hint="eastAsia" w:ascii="仿宋" w:hAnsi="仿宋" w:eastAsia="仿宋" w:cs="仿宋"/>
          <w:sz w:val="24"/>
          <w:szCs w:val="24"/>
          <w:lang w:val="en-US" w:eastAsia="zh-CN"/>
        </w:rPr>
        <w:t>该</w:t>
      </w:r>
      <w:r>
        <w:rPr>
          <w:rFonts w:hint="eastAsia" w:ascii="仿宋" w:hAnsi="仿宋" w:eastAsia="仿宋" w:cs="仿宋"/>
          <w:sz w:val="24"/>
          <w:szCs w:val="24"/>
        </w:rPr>
        <w:t>项目焊口实际数量远超出国内其他同类项目的锅炉焊口数量；</w:t>
      </w:r>
    </w:p>
    <w:p>
      <w:pPr>
        <w:keepNext w:val="0"/>
        <w:keepLines w:val="0"/>
        <w:pageBreakBefore w:val="0"/>
        <w:kinsoku/>
        <w:wordWrap/>
        <w:overflowPunct/>
        <w:topLinePunct w:val="0"/>
        <w:autoSpaceDE/>
        <w:autoSpaceDN/>
        <w:bidi w:val="0"/>
        <w:spacing w:line="360" w:lineRule="auto"/>
        <w:ind w:left="0" w:leftChars="0"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从表</w:t>
      </w:r>
      <w:r>
        <w:rPr>
          <w:rFonts w:hint="eastAsia" w:ascii="仿宋" w:hAnsi="仿宋" w:eastAsia="仿宋" w:cs="仿宋"/>
          <w:sz w:val="24"/>
          <w:szCs w:val="24"/>
          <w:lang w:val="en-US" w:eastAsia="zh-CN"/>
        </w:rPr>
        <w:t>10</w:t>
      </w:r>
      <w:r>
        <w:rPr>
          <w:rFonts w:hint="eastAsia" w:ascii="仿宋" w:hAnsi="仿宋" w:eastAsia="仿宋" w:cs="仿宋"/>
          <w:sz w:val="24"/>
          <w:szCs w:val="24"/>
        </w:rPr>
        <w:t>可以发现：类似技术的锅炉因生产制造厂家不同，造成焊口数量有差异</w:t>
      </w:r>
      <w:r>
        <w:rPr>
          <w:rFonts w:hint="eastAsia" w:ascii="仿宋" w:hAnsi="仿宋" w:eastAsia="仿宋" w:cs="仿宋"/>
          <w:sz w:val="24"/>
          <w:szCs w:val="24"/>
          <w:lang w:eastAsia="zh-CN"/>
        </w:rPr>
        <w:t>。</w:t>
      </w:r>
    </w:p>
    <w:p>
      <w:pPr>
        <w:keepNext w:val="0"/>
        <w:keepLines w:val="0"/>
        <w:pageBreakBefore w:val="0"/>
        <w:kinsoku/>
        <w:wordWrap/>
        <w:overflowPunct/>
        <w:topLinePunct w:val="0"/>
        <w:autoSpaceDE/>
        <w:autoSpaceDN/>
        <w:bidi w:val="0"/>
        <w:spacing w:line="360" w:lineRule="auto"/>
        <w:ind w:left="0" w:leftChars="0" w:firstLine="480" w:firstLineChars="200"/>
        <w:rPr>
          <w:rFonts w:hint="eastAsia" w:ascii="仿宋" w:hAnsi="仿宋" w:eastAsia="仿宋" w:cs="仿宋"/>
          <w:sz w:val="24"/>
          <w:szCs w:val="24"/>
          <w:lang w:eastAsia="zh-CN"/>
        </w:rPr>
      </w:pPr>
    </w:p>
    <w:p>
      <w:pPr>
        <w:keepNext w:val="0"/>
        <w:keepLines w:val="0"/>
        <w:pageBreakBefore w:val="0"/>
        <w:kinsoku/>
        <w:wordWrap/>
        <w:overflowPunct/>
        <w:topLinePunct w:val="0"/>
        <w:autoSpaceDE/>
        <w:autoSpaceDN/>
        <w:bidi w:val="0"/>
        <w:spacing w:line="360" w:lineRule="auto"/>
        <w:ind w:left="0" w:leftChars="0" w:firstLine="480" w:firstLineChars="200"/>
        <w:rPr>
          <w:rFonts w:hint="eastAsia" w:ascii="仿宋" w:hAnsi="仿宋" w:eastAsia="仿宋" w:cs="仿宋"/>
          <w:sz w:val="24"/>
          <w:szCs w:val="24"/>
          <w:lang w:eastAsia="zh-CN"/>
        </w:rPr>
      </w:pPr>
    </w:p>
    <w:p>
      <w:pPr>
        <w:keepNext w:val="0"/>
        <w:keepLines w:val="0"/>
        <w:pageBreakBefore w:val="0"/>
        <w:kinsoku/>
        <w:wordWrap/>
        <w:overflowPunct/>
        <w:topLinePunct w:val="0"/>
        <w:autoSpaceDE/>
        <w:autoSpaceDN/>
        <w:bidi w:val="0"/>
        <w:spacing w:line="360" w:lineRule="auto"/>
        <w:ind w:left="0" w:leftChars="0" w:firstLine="480" w:firstLineChars="200"/>
        <w:rPr>
          <w:rFonts w:hint="eastAsia" w:ascii="仿宋" w:hAnsi="仿宋" w:eastAsia="仿宋" w:cs="仿宋"/>
          <w:sz w:val="24"/>
          <w:szCs w:val="24"/>
          <w:lang w:eastAsia="zh-CN"/>
        </w:rPr>
      </w:pPr>
    </w:p>
    <w:p>
      <w:pPr>
        <w:keepNext w:val="0"/>
        <w:keepLines w:val="0"/>
        <w:pageBreakBefore w:val="0"/>
        <w:kinsoku/>
        <w:wordWrap/>
        <w:overflowPunct/>
        <w:topLinePunct w:val="0"/>
        <w:autoSpaceDE/>
        <w:autoSpaceDN/>
        <w:bidi w:val="0"/>
        <w:spacing w:line="360" w:lineRule="auto"/>
        <w:ind w:left="0" w:leftChars="0" w:firstLine="480" w:firstLineChars="200"/>
        <w:rPr>
          <w:rFonts w:hint="eastAsia" w:ascii="仿宋" w:hAnsi="仿宋" w:eastAsia="仿宋" w:cs="仿宋"/>
          <w:sz w:val="24"/>
          <w:szCs w:val="24"/>
          <w:lang w:eastAsia="zh-CN"/>
        </w:rPr>
      </w:pPr>
    </w:p>
    <w:p>
      <w:pPr>
        <w:keepNext w:val="0"/>
        <w:keepLines w:val="0"/>
        <w:pageBreakBefore w:val="0"/>
        <w:kinsoku/>
        <w:wordWrap/>
        <w:overflowPunct/>
        <w:topLinePunct w:val="0"/>
        <w:autoSpaceDE/>
        <w:autoSpaceDN/>
        <w:bidi w:val="0"/>
        <w:spacing w:line="360" w:lineRule="auto"/>
        <w:ind w:left="0" w:leftChars="0" w:firstLine="480" w:firstLineChars="200"/>
        <w:rPr>
          <w:rFonts w:hint="eastAsia" w:ascii="仿宋" w:hAnsi="仿宋" w:eastAsia="仿宋" w:cs="仿宋"/>
          <w:sz w:val="24"/>
          <w:szCs w:val="24"/>
          <w:lang w:eastAsia="zh-CN"/>
        </w:rPr>
      </w:pPr>
    </w:p>
    <w:p>
      <w:pPr>
        <w:keepNext w:val="0"/>
        <w:keepLines w:val="0"/>
        <w:pageBreakBefore w:val="0"/>
        <w:kinsoku/>
        <w:wordWrap/>
        <w:overflowPunct/>
        <w:topLinePunct w:val="0"/>
        <w:autoSpaceDE/>
        <w:autoSpaceDN/>
        <w:bidi w:val="0"/>
        <w:spacing w:line="360" w:lineRule="auto"/>
        <w:ind w:left="0" w:leftChars="0" w:firstLine="480" w:firstLineChars="200"/>
        <w:rPr>
          <w:rFonts w:hint="eastAsia" w:ascii="仿宋" w:hAnsi="仿宋" w:eastAsia="仿宋" w:cs="仿宋"/>
          <w:sz w:val="24"/>
          <w:szCs w:val="24"/>
          <w:lang w:eastAsia="zh-CN"/>
        </w:rPr>
      </w:pPr>
    </w:p>
    <w:p>
      <w:pPr>
        <w:keepNext w:val="0"/>
        <w:keepLines w:val="0"/>
        <w:pageBreakBefore w:val="0"/>
        <w:kinsoku/>
        <w:wordWrap/>
        <w:overflowPunct/>
        <w:topLinePunct w:val="0"/>
        <w:autoSpaceDE/>
        <w:autoSpaceDN/>
        <w:bidi w:val="0"/>
        <w:spacing w:line="360" w:lineRule="auto"/>
        <w:ind w:left="0" w:leftChars="0" w:firstLine="480" w:firstLineChars="200"/>
        <w:rPr>
          <w:rFonts w:hint="eastAsia" w:ascii="仿宋" w:hAnsi="仿宋" w:eastAsia="仿宋" w:cs="仿宋"/>
          <w:sz w:val="24"/>
          <w:szCs w:val="24"/>
          <w:lang w:eastAsia="zh-CN"/>
        </w:rPr>
      </w:pPr>
    </w:p>
    <w:p>
      <w:pPr>
        <w:keepNext w:val="0"/>
        <w:keepLines w:val="0"/>
        <w:pageBreakBefore w:val="0"/>
        <w:kinsoku/>
        <w:wordWrap/>
        <w:overflowPunct/>
        <w:topLinePunct w:val="0"/>
        <w:autoSpaceDE/>
        <w:autoSpaceDN/>
        <w:bidi w:val="0"/>
        <w:spacing w:line="360" w:lineRule="auto"/>
        <w:ind w:left="0" w:leftChars="0" w:firstLine="480" w:firstLineChars="200"/>
        <w:rPr>
          <w:rFonts w:hint="eastAsia" w:ascii="仿宋" w:hAnsi="仿宋" w:eastAsia="仿宋" w:cs="仿宋"/>
          <w:sz w:val="24"/>
          <w:szCs w:val="24"/>
          <w:lang w:eastAsia="zh-CN"/>
        </w:rPr>
      </w:pPr>
    </w:p>
    <w:p>
      <w:pPr>
        <w:keepNext w:val="0"/>
        <w:keepLines w:val="0"/>
        <w:pageBreakBefore w:val="0"/>
        <w:kinsoku/>
        <w:wordWrap/>
        <w:overflowPunct/>
        <w:topLinePunct w:val="0"/>
        <w:autoSpaceDE/>
        <w:autoSpaceDN/>
        <w:bidi w:val="0"/>
        <w:spacing w:line="360" w:lineRule="auto"/>
        <w:rPr>
          <w:rFonts w:hint="default" w:ascii="仿宋" w:hAnsi="仿宋" w:eastAsia="仿宋" w:cs="仿宋"/>
          <w:sz w:val="24"/>
          <w:szCs w:val="24"/>
          <w:lang w:val="en-US" w:eastAsia="zh-CN"/>
        </w:rPr>
        <w:sectPr>
          <w:footerReference r:id="rId3" w:type="default"/>
          <w:pgSz w:w="11906" w:h="16838"/>
          <w:pgMar w:top="1418" w:right="1358" w:bottom="426" w:left="1588" w:header="851" w:footer="585" w:gutter="0"/>
          <w:pgNumType w:fmt="numberInDash"/>
          <w:cols w:space="720" w:num="1"/>
          <w:docGrid w:type="lines" w:linePitch="312" w:charSpace="0"/>
        </w:sectPr>
      </w:pPr>
    </w:p>
    <w:p>
      <w:pPr>
        <w:pStyle w:val="3"/>
        <w:keepNext w:val="0"/>
        <w:keepLines w:val="0"/>
        <w:pageBreakBefore w:val="0"/>
        <w:kinsoku/>
        <w:wordWrap/>
        <w:overflowPunct/>
        <w:topLinePunct w:val="0"/>
        <w:autoSpaceDE/>
        <w:autoSpaceDN/>
        <w:bidi w:val="0"/>
        <w:adjustRightInd w:val="0"/>
        <w:snapToGrid w:val="0"/>
        <w:spacing w:line="360" w:lineRule="auto"/>
        <w:rPr>
          <w:rFonts w:hint="eastAsia" w:ascii="仿宋" w:hAnsi="仿宋" w:eastAsia="仿宋" w:cs="仿宋"/>
          <w:b/>
          <w:sz w:val="24"/>
          <w:szCs w:val="24"/>
        </w:rPr>
      </w:pPr>
      <w:r>
        <w:rPr>
          <w:rFonts w:hint="eastAsia" w:ascii="仿宋" w:hAnsi="仿宋" w:eastAsia="仿宋" w:cs="仿宋"/>
          <w:b/>
          <w:sz w:val="24"/>
          <w:szCs w:val="24"/>
          <w:lang w:val="en-US" w:eastAsia="zh-CN"/>
        </w:rPr>
        <w:t>三</w:t>
      </w:r>
      <w:r>
        <w:rPr>
          <w:rFonts w:hint="eastAsia" w:ascii="仿宋" w:hAnsi="仿宋" w:eastAsia="仿宋" w:cs="仿宋"/>
          <w:b/>
          <w:sz w:val="24"/>
          <w:szCs w:val="24"/>
        </w:rPr>
        <w:t>、从施工单位的分包合同进行分析，由于焊口数量大幅增加，导致成本费用增加</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sz w:val="24"/>
          <w:szCs w:val="24"/>
        </w:rPr>
      </w:pPr>
      <w:r>
        <w:rPr>
          <w:rFonts w:hint="eastAsia" w:ascii="仿宋" w:hAnsi="仿宋" w:eastAsia="仿宋" w:cs="仿宋"/>
          <w:sz w:val="24"/>
          <w:szCs w:val="24"/>
        </w:rPr>
        <w:t>1.从单台余热锅炉人工成本进行分析，分包合同中的人工成本费用比合同报价中人工费多了131.8978万元。</w:t>
      </w:r>
    </w:p>
    <w:p>
      <w:pPr>
        <w:keepNext w:val="0"/>
        <w:keepLines w:val="0"/>
        <w:pageBreakBefore w:val="0"/>
        <w:kinsoku/>
        <w:wordWrap/>
        <w:overflowPunct/>
        <w:topLinePunct w:val="0"/>
        <w:autoSpaceDE/>
        <w:autoSpaceDN/>
        <w:bidi w:val="0"/>
        <w:adjustRightInd w:val="0"/>
        <w:snapToGrid w:val="0"/>
        <w:spacing w:line="360" w:lineRule="auto"/>
        <w:ind w:left="0" w:leftChars="0" w:firstLine="360" w:firstLineChars="150"/>
        <w:rPr>
          <w:rFonts w:hint="eastAsia" w:ascii="仿宋" w:hAnsi="仿宋" w:eastAsia="仿宋" w:cs="仿宋"/>
          <w:sz w:val="24"/>
          <w:szCs w:val="24"/>
        </w:rPr>
      </w:pPr>
      <w:r>
        <w:rPr>
          <w:rFonts w:hint="eastAsia" w:ascii="仿宋" w:hAnsi="仿宋" w:eastAsia="仿宋" w:cs="仿宋"/>
          <w:sz w:val="24"/>
          <w:szCs w:val="24"/>
        </w:rPr>
        <w:t>（1）合同中单台余热锅炉的价格情况。合同报价中单台余热锅炉报价为507.0893万元，其中人工费为264.6142万元。</w:t>
      </w:r>
    </w:p>
    <w:p>
      <w:pPr>
        <w:keepNext w:val="0"/>
        <w:keepLines w:val="0"/>
        <w:pageBreakBefore w:val="0"/>
        <w:kinsoku/>
        <w:wordWrap/>
        <w:overflowPunct/>
        <w:topLinePunct w:val="0"/>
        <w:autoSpaceDE/>
        <w:autoSpaceDN/>
        <w:bidi w:val="0"/>
        <w:adjustRightInd w:val="0"/>
        <w:snapToGrid w:val="0"/>
        <w:spacing w:line="360" w:lineRule="auto"/>
        <w:ind w:left="0" w:leftChars="0" w:firstLine="360" w:firstLineChars="150"/>
        <w:rPr>
          <w:rFonts w:hint="eastAsia" w:ascii="仿宋" w:hAnsi="仿宋" w:eastAsia="仿宋" w:cs="仿宋"/>
          <w:sz w:val="24"/>
          <w:szCs w:val="24"/>
          <w:lang w:eastAsia="zh-CN"/>
        </w:rPr>
      </w:pPr>
      <w:r>
        <w:rPr>
          <w:rFonts w:hint="eastAsia" w:ascii="仿宋" w:hAnsi="仿宋" w:eastAsia="仿宋" w:cs="仿宋"/>
          <w:sz w:val="24"/>
          <w:szCs w:val="24"/>
        </w:rPr>
        <w:t>（2）施工单位单台余热锅炉的分包成本价情况。根据某公司提供的分包合同，单台余热锅炉单价为446.512万元，扣除合同中分包合同中包含的焊条、气体等辅材50万元（暂估），单台余热锅炉人工成本为396.512万元</w:t>
      </w:r>
      <w:r>
        <w:rPr>
          <w:rFonts w:hint="eastAsia" w:ascii="仿宋" w:hAnsi="仿宋" w:eastAsia="仿宋" w:cs="仿宋"/>
          <w:sz w:val="24"/>
          <w:szCs w:val="24"/>
          <w:lang w:eastAsia="zh-CN"/>
        </w:rPr>
        <w:t>。</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sz w:val="24"/>
          <w:szCs w:val="24"/>
        </w:rPr>
      </w:pPr>
      <w:r>
        <w:rPr>
          <w:rFonts w:hint="eastAsia" w:ascii="仿宋" w:hAnsi="仿宋" w:eastAsia="仿宋" w:cs="仿宋"/>
          <w:sz w:val="24"/>
          <w:szCs w:val="24"/>
        </w:rPr>
        <w:t>2.焊口数量增加导致的其它施工成本的增加，增加费用146.4万元。</w:t>
      </w:r>
    </w:p>
    <w:p>
      <w:pPr>
        <w:keepNext w:val="0"/>
        <w:keepLines w:val="0"/>
        <w:pageBreakBefore w:val="0"/>
        <w:kinsoku/>
        <w:wordWrap/>
        <w:overflowPunct/>
        <w:topLinePunct w:val="0"/>
        <w:autoSpaceDE/>
        <w:autoSpaceDN/>
        <w:bidi w:val="0"/>
        <w:adjustRightInd w:val="0"/>
        <w:snapToGrid w:val="0"/>
        <w:spacing w:line="360" w:lineRule="auto"/>
        <w:ind w:left="0" w:leftChars="0" w:firstLine="360" w:firstLineChars="150"/>
        <w:rPr>
          <w:rFonts w:hint="eastAsia" w:ascii="仿宋" w:hAnsi="仿宋" w:eastAsia="仿宋" w:cs="仿宋"/>
          <w:sz w:val="24"/>
          <w:szCs w:val="24"/>
        </w:rPr>
      </w:pPr>
      <w:r>
        <w:rPr>
          <w:rFonts w:hint="eastAsia" w:ascii="仿宋" w:hAnsi="仿宋" w:eastAsia="仿宋" w:cs="仿宋"/>
          <w:sz w:val="24"/>
          <w:szCs w:val="24"/>
        </w:rPr>
        <w:t>（1）按照金属检验分包合同，每张片单价为58元，按增加4000个焊口数量进行估算，每个焊口按两张片考虑（详见</w:t>
      </w:r>
      <w:r>
        <w:rPr>
          <w:rFonts w:hint="eastAsia" w:ascii="仿宋" w:hAnsi="仿宋" w:eastAsia="仿宋" w:cs="仿宋"/>
          <w:sz w:val="24"/>
          <w:szCs w:val="24"/>
          <w:lang w:val="en-US" w:eastAsia="zh-CN"/>
        </w:rPr>
        <w:t>该项目</w:t>
      </w:r>
      <w:r>
        <w:rPr>
          <w:rFonts w:hint="eastAsia" w:ascii="仿宋" w:hAnsi="仿宋" w:eastAsia="仿宋" w:cs="仿宋"/>
          <w:sz w:val="24"/>
          <w:szCs w:val="24"/>
        </w:rPr>
        <w:t>建筑安装工程技术规范书第46页3.2.3条第2条款的要求），共增加费用46.4万元。</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sz w:val="24"/>
          <w:szCs w:val="24"/>
        </w:rPr>
      </w:pPr>
      <w:r>
        <w:rPr>
          <w:rFonts w:hint="eastAsia" w:ascii="仿宋" w:hAnsi="仿宋" w:eastAsia="仿宋" w:cs="仿宋"/>
          <w:sz w:val="24"/>
          <w:szCs w:val="24"/>
        </w:rPr>
        <w:t>（2）因焊口增加，造成组合、焊接安装等人工成本增加，某公司和分包单位正在协商中，初步按每台锅炉100万元给予补偿（正在协商中）。</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sz w:val="24"/>
          <w:szCs w:val="24"/>
        </w:rPr>
      </w:pPr>
      <w:r>
        <w:rPr>
          <w:rFonts w:hint="eastAsia" w:ascii="仿宋" w:hAnsi="仿宋" w:eastAsia="仿宋" w:cs="仿宋"/>
          <w:sz w:val="24"/>
          <w:szCs w:val="24"/>
        </w:rPr>
        <w:t>在不考虑因焊口增加造成起重机械、施工周期延长增加的费用的情况下，上述两项费用施工单位预计增加278.2978万元。详见表5：</w:t>
      </w:r>
    </w:p>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rPr>
      </w:pPr>
      <w:r>
        <w:rPr>
          <w:rFonts w:hint="eastAsia" w:ascii="仿宋" w:hAnsi="仿宋" w:eastAsia="仿宋" w:cs="仿宋"/>
        </w:rPr>
        <w:t>表</w:t>
      </w:r>
      <w:r>
        <w:rPr>
          <w:rFonts w:hint="eastAsia" w:ascii="仿宋" w:hAnsi="仿宋" w:eastAsia="仿宋" w:cs="仿宋"/>
          <w:lang w:val="en-US" w:eastAsia="zh-CN"/>
        </w:rPr>
        <w:t>11</w:t>
      </w:r>
      <w:r>
        <w:rPr>
          <w:rFonts w:hint="eastAsia" w:ascii="仿宋" w:hAnsi="仿宋" w:eastAsia="仿宋" w:cs="仿宋"/>
        </w:rPr>
        <w:t xml:space="preserve"> 单台余热锅炉成本增加情况分析表</w:t>
      </w:r>
    </w:p>
    <w:tbl>
      <w:tblPr>
        <w:tblStyle w:val="9"/>
        <w:tblW w:w="8789" w:type="dxa"/>
        <w:jc w:val="center"/>
        <w:tblInd w:w="0" w:type="dxa"/>
        <w:tblLayout w:type="fixed"/>
        <w:tblCellMar>
          <w:top w:w="15" w:type="dxa"/>
          <w:left w:w="15" w:type="dxa"/>
          <w:bottom w:w="15" w:type="dxa"/>
          <w:right w:w="15" w:type="dxa"/>
        </w:tblCellMar>
      </w:tblPr>
      <w:tblGrid>
        <w:gridCol w:w="1079"/>
        <w:gridCol w:w="3693"/>
        <w:gridCol w:w="2017"/>
        <w:gridCol w:w="2000"/>
      </w:tblGrid>
      <w:tr>
        <w:tblPrEx>
          <w:tblLayout w:type="fixed"/>
          <w:tblCellMar>
            <w:top w:w="15" w:type="dxa"/>
            <w:left w:w="15" w:type="dxa"/>
            <w:bottom w:w="15" w:type="dxa"/>
            <w:right w:w="15" w:type="dxa"/>
          </w:tblCellMar>
        </w:tblPrEx>
        <w:trPr>
          <w:trHeight w:val="435" w:hRule="atLeast"/>
          <w:jc w:val="center"/>
        </w:trPr>
        <w:tc>
          <w:tcPr>
            <w:tcW w:w="1079"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b/>
                <w:bCs/>
                <w:sz w:val="18"/>
                <w:szCs w:val="18"/>
              </w:rPr>
            </w:pPr>
            <w:r>
              <w:rPr>
                <w:rFonts w:hint="eastAsia" w:ascii="仿宋" w:hAnsi="仿宋" w:eastAsia="仿宋" w:cs="仿宋"/>
                <w:b/>
                <w:bCs/>
                <w:sz w:val="18"/>
                <w:szCs w:val="18"/>
              </w:rPr>
              <w:t>序号</w:t>
            </w:r>
          </w:p>
        </w:tc>
        <w:tc>
          <w:tcPr>
            <w:tcW w:w="3693"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b/>
                <w:bCs/>
                <w:sz w:val="18"/>
                <w:szCs w:val="18"/>
              </w:rPr>
            </w:pPr>
            <w:r>
              <w:rPr>
                <w:rFonts w:hint="eastAsia" w:ascii="仿宋" w:hAnsi="仿宋" w:eastAsia="仿宋" w:cs="仿宋"/>
                <w:b/>
                <w:bCs/>
                <w:sz w:val="18"/>
                <w:szCs w:val="18"/>
              </w:rPr>
              <w:t>项目名称</w:t>
            </w:r>
          </w:p>
        </w:tc>
        <w:tc>
          <w:tcPr>
            <w:tcW w:w="2017"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b/>
                <w:bCs/>
                <w:sz w:val="18"/>
                <w:szCs w:val="18"/>
              </w:rPr>
            </w:pPr>
            <w:r>
              <w:rPr>
                <w:rFonts w:hint="eastAsia" w:ascii="仿宋" w:hAnsi="仿宋" w:eastAsia="仿宋" w:cs="仿宋"/>
                <w:b/>
                <w:bCs/>
                <w:sz w:val="18"/>
                <w:szCs w:val="18"/>
              </w:rPr>
              <w:t>单价（元/台套）</w:t>
            </w:r>
          </w:p>
        </w:tc>
        <w:tc>
          <w:tcPr>
            <w:tcW w:w="200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360" w:lineRule="auto"/>
              <w:ind w:left="0" w:leftChars="0"/>
              <w:jc w:val="center"/>
              <w:rPr>
                <w:rFonts w:hint="eastAsia" w:ascii="仿宋" w:hAnsi="仿宋" w:eastAsia="仿宋" w:cs="仿宋"/>
                <w:b/>
                <w:bCs/>
                <w:sz w:val="18"/>
                <w:szCs w:val="18"/>
              </w:rPr>
            </w:pPr>
            <w:r>
              <w:rPr>
                <w:rFonts w:hint="eastAsia" w:ascii="仿宋" w:hAnsi="仿宋" w:eastAsia="仿宋" w:cs="仿宋"/>
                <w:b/>
                <w:bCs/>
                <w:sz w:val="18"/>
                <w:szCs w:val="18"/>
              </w:rPr>
              <w:t>备注</w:t>
            </w:r>
          </w:p>
        </w:tc>
      </w:tr>
      <w:tr>
        <w:tblPrEx>
          <w:tblLayout w:type="fixed"/>
          <w:tblCellMar>
            <w:top w:w="15" w:type="dxa"/>
            <w:left w:w="15" w:type="dxa"/>
            <w:bottom w:w="15" w:type="dxa"/>
            <w:right w:w="15" w:type="dxa"/>
          </w:tblCellMar>
        </w:tblPrEx>
        <w:trPr>
          <w:trHeight w:val="435" w:hRule="atLeast"/>
          <w:jc w:val="center"/>
        </w:trPr>
        <w:tc>
          <w:tcPr>
            <w:tcW w:w="1079"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b/>
                <w:bCs/>
                <w:sz w:val="18"/>
                <w:szCs w:val="18"/>
              </w:rPr>
            </w:pPr>
            <w:r>
              <w:rPr>
                <w:rFonts w:hint="eastAsia" w:ascii="仿宋" w:hAnsi="仿宋" w:eastAsia="仿宋" w:cs="仿宋"/>
                <w:b/>
                <w:bCs/>
                <w:sz w:val="18"/>
                <w:szCs w:val="18"/>
              </w:rPr>
              <w:t>一</w:t>
            </w:r>
          </w:p>
        </w:tc>
        <w:tc>
          <w:tcPr>
            <w:tcW w:w="3693"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b/>
                <w:bCs/>
                <w:sz w:val="18"/>
                <w:szCs w:val="18"/>
              </w:rPr>
            </w:pPr>
            <w:r>
              <w:rPr>
                <w:rFonts w:hint="eastAsia" w:ascii="仿宋" w:hAnsi="仿宋" w:eastAsia="仿宋" w:cs="仿宋"/>
                <w:b/>
                <w:bCs/>
                <w:sz w:val="18"/>
                <w:szCs w:val="18"/>
              </w:rPr>
              <w:t>单台余热锅炉人工成本分析</w:t>
            </w:r>
          </w:p>
        </w:tc>
        <w:tc>
          <w:tcPr>
            <w:tcW w:w="2017"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b/>
                <w:bCs/>
                <w:sz w:val="18"/>
                <w:szCs w:val="18"/>
              </w:rPr>
            </w:pPr>
          </w:p>
        </w:tc>
        <w:tc>
          <w:tcPr>
            <w:tcW w:w="2000" w:type="dxa"/>
            <w:tcBorders>
              <w:top w:val="single" w:color="000000" w:sz="4" w:space="0"/>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b/>
                <w:bCs/>
                <w:sz w:val="18"/>
                <w:szCs w:val="18"/>
              </w:rPr>
            </w:pPr>
          </w:p>
        </w:tc>
      </w:tr>
      <w:tr>
        <w:tblPrEx>
          <w:tblLayout w:type="fixed"/>
          <w:tblCellMar>
            <w:top w:w="15" w:type="dxa"/>
            <w:left w:w="15" w:type="dxa"/>
            <w:bottom w:w="15" w:type="dxa"/>
            <w:right w:w="15" w:type="dxa"/>
          </w:tblCellMar>
        </w:tblPrEx>
        <w:trPr>
          <w:trHeight w:val="42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1</w:t>
            </w:r>
          </w:p>
        </w:tc>
        <w:tc>
          <w:tcPr>
            <w:tcW w:w="3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合同价</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sz w:val="18"/>
                <w:szCs w:val="18"/>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sz w:val="18"/>
                <w:szCs w:val="18"/>
              </w:rPr>
            </w:pPr>
          </w:p>
        </w:tc>
      </w:tr>
      <w:tr>
        <w:tblPrEx>
          <w:tblLayout w:type="fixed"/>
          <w:tblCellMar>
            <w:top w:w="15" w:type="dxa"/>
            <w:left w:w="15" w:type="dxa"/>
            <w:bottom w:w="15" w:type="dxa"/>
            <w:right w:w="15" w:type="dxa"/>
          </w:tblCellMar>
        </w:tblPrEx>
        <w:trPr>
          <w:trHeight w:val="614"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1.1</w:t>
            </w:r>
          </w:p>
        </w:tc>
        <w:tc>
          <w:tcPr>
            <w:tcW w:w="3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合同报价</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5070893</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sz w:val="18"/>
                <w:szCs w:val="18"/>
              </w:rPr>
            </w:pPr>
          </w:p>
        </w:tc>
      </w:tr>
      <w:tr>
        <w:tblPrEx>
          <w:tblLayout w:type="fixed"/>
          <w:tblCellMar>
            <w:top w:w="15" w:type="dxa"/>
            <w:left w:w="15" w:type="dxa"/>
            <w:bottom w:w="15" w:type="dxa"/>
            <w:right w:w="15" w:type="dxa"/>
          </w:tblCellMar>
        </w:tblPrEx>
        <w:trPr>
          <w:trHeight w:val="48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sz w:val="18"/>
                <w:szCs w:val="18"/>
              </w:rPr>
            </w:pPr>
          </w:p>
        </w:tc>
        <w:tc>
          <w:tcPr>
            <w:tcW w:w="3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其中人工费</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leftChars="0"/>
              <w:jc w:val="center"/>
              <w:textAlignment w:val="center"/>
              <w:rPr>
                <w:rFonts w:hint="eastAsia" w:ascii="仿宋" w:hAnsi="仿宋" w:eastAsia="仿宋" w:cs="仿宋"/>
                <w:sz w:val="18"/>
                <w:szCs w:val="18"/>
              </w:rPr>
            </w:pPr>
            <w:r>
              <w:rPr>
                <w:rFonts w:hint="eastAsia" w:ascii="仿宋" w:hAnsi="仿宋" w:eastAsia="仿宋" w:cs="仿宋"/>
                <w:sz w:val="18"/>
                <w:szCs w:val="18"/>
              </w:rPr>
              <w:t>2646142</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sz w:val="18"/>
                <w:szCs w:val="18"/>
              </w:rPr>
            </w:pPr>
          </w:p>
        </w:tc>
      </w:tr>
      <w:tr>
        <w:tblPrEx>
          <w:tblLayout w:type="fixed"/>
          <w:tblCellMar>
            <w:top w:w="15" w:type="dxa"/>
            <w:left w:w="15" w:type="dxa"/>
            <w:bottom w:w="15" w:type="dxa"/>
            <w:right w:w="15" w:type="dxa"/>
          </w:tblCellMar>
        </w:tblPrEx>
        <w:trPr>
          <w:trHeight w:val="42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2</w:t>
            </w:r>
          </w:p>
        </w:tc>
        <w:tc>
          <w:tcPr>
            <w:tcW w:w="3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分包成本价</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sz w:val="18"/>
                <w:szCs w:val="18"/>
              </w:rPr>
            </w:pP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sz w:val="18"/>
                <w:szCs w:val="18"/>
              </w:rPr>
            </w:pPr>
          </w:p>
        </w:tc>
      </w:tr>
      <w:tr>
        <w:tblPrEx>
          <w:tblLayout w:type="fixed"/>
          <w:tblCellMar>
            <w:top w:w="15" w:type="dxa"/>
            <w:left w:w="15" w:type="dxa"/>
            <w:bottom w:w="15" w:type="dxa"/>
            <w:right w:w="15" w:type="dxa"/>
          </w:tblCellMar>
        </w:tblPrEx>
        <w:trPr>
          <w:trHeight w:val="45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2.1</w:t>
            </w:r>
          </w:p>
        </w:tc>
        <w:tc>
          <w:tcPr>
            <w:tcW w:w="3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锅炉分包标段1（扣除焊条和气体50万）</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3945200</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sz w:val="18"/>
                <w:szCs w:val="18"/>
              </w:rPr>
            </w:pPr>
          </w:p>
        </w:tc>
      </w:tr>
      <w:tr>
        <w:tblPrEx>
          <w:tblLayout w:type="fixed"/>
          <w:tblCellMar>
            <w:top w:w="15" w:type="dxa"/>
            <w:left w:w="15" w:type="dxa"/>
            <w:bottom w:w="15" w:type="dxa"/>
            <w:right w:w="15" w:type="dxa"/>
          </w:tblCellMar>
        </w:tblPrEx>
        <w:trPr>
          <w:trHeight w:val="45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2.2</w:t>
            </w:r>
          </w:p>
        </w:tc>
        <w:tc>
          <w:tcPr>
            <w:tcW w:w="3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锅炉分包标段2（扣除焊条和气体50万）</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3995000</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sz w:val="18"/>
                <w:szCs w:val="18"/>
              </w:rPr>
            </w:pPr>
          </w:p>
        </w:tc>
      </w:tr>
      <w:tr>
        <w:tblPrEx>
          <w:tblLayout w:type="fixed"/>
          <w:tblCellMar>
            <w:top w:w="15" w:type="dxa"/>
            <w:left w:w="15" w:type="dxa"/>
            <w:bottom w:w="15" w:type="dxa"/>
            <w:right w:w="15" w:type="dxa"/>
          </w:tblCellMar>
        </w:tblPrEx>
        <w:trPr>
          <w:trHeight w:val="286"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2.3</w:t>
            </w:r>
          </w:p>
        </w:tc>
        <w:tc>
          <w:tcPr>
            <w:tcW w:w="3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left"/>
              <w:rPr>
                <w:rFonts w:hint="eastAsia" w:ascii="仿宋" w:hAnsi="仿宋" w:eastAsia="仿宋" w:cs="仿宋"/>
                <w:sz w:val="18"/>
                <w:szCs w:val="18"/>
              </w:rPr>
            </w:pPr>
            <w:r>
              <w:rPr>
                <w:rFonts w:hint="eastAsia" w:ascii="仿宋" w:hAnsi="仿宋" w:eastAsia="仿宋" w:cs="仿宋"/>
                <w:sz w:val="18"/>
                <w:szCs w:val="18"/>
              </w:rPr>
              <w:t>加权平均单价</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3965120</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sz w:val="18"/>
                <w:szCs w:val="18"/>
              </w:rPr>
            </w:pPr>
          </w:p>
        </w:tc>
      </w:tr>
      <w:tr>
        <w:tblPrEx>
          <w:tblLayout w:type="fixed"/>
          <w:tblCellMar>
            <w:top w:w="15" w:type="dxa"/>
            <w:left w:w="15" w:type="dxa"/>
            <w:bottom w:w="15" w:type="dxa"/>
            <w:right w:w="15" w:type="dxa"/>
          </w:tblCellMar>
        </w:tblPrEx>
        <w:trPr>
          <w:trHeight w:val="616"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3</w:t>
            </w:r>
          </w:p>
        </w:tc>
        <w:tc>
          <w:tcPr>
            <w:tcW w:w="3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left"/>
              <w:rPr>
                <w:rFonts w:hint="eastAsia" w:ascii="仿宋" w:hAnsi="仿宋" w:eastAsia="仿宋" w:cs="仿宋"/>
                <w:sz w:val="18"/>
                <w:szCs w:val="18"/>
              </w:rPr>
            </w:pPr>
            <w:r>
              <w:rPr>
                <w:rFonts w:hint="eastAsia" w:ascii="仿宋" w:hAnsi="仿宋" w:eastAsia="仿宋" w:cs="仿宋"/>
                <w:sz w:val="18"/>
                <w:szCs w:val="18"/>
              </w:rPr>
              <w:t>分包合同价相对合同报价人工费增加金额</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leftChars="0"/>
              <w:jc w:val="center"/>
              <w:textAlignment w:val="center"/>
              <w:rPr>
                <w:rFonts w:hint="eastAsia" w:ascii="仿宋" w:hAnsi="仿宋" w:eastAsia="仿宋" w:cs="仿宋"/>
                <w:sz w:val="18"/>
                <w:szCs w:val="18"/>
              </w:rPr>
            </w:pPr>
            <w:r>
              <w:rPr>
                <w:rFonts w:hint="eastAsia" w:ascii="仿宋" w:hAnsi="仿宋" w:eastAsia="仿宋" w:cs="仿宋"/>
                <w:sz w:val="18"/>
                <w:szCs w:val="18"/>
              </w:rPr>
              <w:t xml:space="preserve">1318978 </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sz w:val="18"/>
                <w:szCs w:val="18"/>
              </w:rPr>
            </w:pPr>
          </w:p>
        </w:tc>
      </w:tr>
      <w:tr>
        <w:tblPrEx>
          <w:tblLayout w:type="fixed"/>
          <w:tblCellMar>
            <w:top w:w="15" w:type="dxa"/>
            <w:left w:w="15" w:type="dxa"/>
            <w:bottom w:w="15" w:type="dxa"/>
            <w:right w:w="15" w:type="dxa"/>
          </w:tblCellMar>
        </w:tblPrEx>
        <w:trPr>
          <w:trHeight w:val="526"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b/>
                <w:bCs/>
                <w:sz w:val="18"/>
                <w:szCs w:val="18"/>
              </w:rPr>
            </w:pPr>
            <w:r>
              <w:rPr>
                <w:rFonts w:hint="eastAsia" w:ascii="仿宋" w:hAnsi="仿宋" w:eastAsia="仿宋" w:cs="仿宋"/>
                <w:b/>
                <w:bCs/>
                <w:sz w:val="18"/>
                <w:szCs w:val="18"/>
              </w:rPr>
              <w:t>二</w:t>
            </w:r>
          </w:p>
        </w:tc>
        <w:tc>
          <w:tcPr>
            <w:tcW w:w="3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b/>
                <w:bCs/>
                <w:sz w:val="18"/>
                <w:szCs w:val="18"/>
              </w:rPr>
            </w:pPr>
            <w:r>
              <w:rPr>
                <w:rFonts w:hint="eastAsia" w:ascii="仿宋" w:hAnsi="仿宋" w:eastAsia="仿宋" w:cs="仿宋"/>
                <w:b/>
                <w:bCs/>
                <w:sz w:val="18"/>
                <w:szCs w:val="18"/>
              </w:rPr>
              <w:t>焊口增加造成的费用增加情况</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b/>
                <w:bCs/>
                <w:sz w:val="18"/>
                <w:szCs w:val="18"/>
              </w:rPr>
            </w:pPr>
            <w:r>
              <w:rPr>
                <w:rFonts w:hint="eastAsia" w:ascii="仿宋" w:hAnsi="仿宋" w:eastAsia="仿宋" w:cs="仿宋"/>
                <w:b/>
                <w:bCs/>
                <w:sz w:val="18"/>
                <w:szCs w:val="18"/>
              </w:rPr>
              <w:t xml:space="preserve">1464000 </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b/>
                <w:bCs/>
                <w:sz w:val="18"/>
                <w:szCs w:val="18"/>
              </w:rPr>
            </w:pPr>
          </w:p>
        </w:tc>
      </w:tr>
      <w:tr>
        <w:tblPrEx>
          <w:tblLayout w:type="fixed"/>
          <w:tblCellMar>
            <w:top w:w="15" w:type="dxa"/>
            <w:left w:w="15" w:type="dxa"/>
            <w:bottom w:w="15" w:type="dxa"/>
            <w:right w:w="15" w:type="dxa"/>
          </w:tblCellMar>
        </w:tblPrEx>
        <w:trPr>
          <w:trHeight w:val="82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1</w:t>
            </w:r>
          </w:p>
        </w:tc>
        <w:tc>
          <w:tcPr>
            <w:tcW w:w="3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left"/>
              <w:rPr>
                <w:rFonts w:hint="eastAsia" w:ascii="仿宋" w:hAnsi="仿宋" w:eastAsia="仿宋" w:cs="仿宋"/>
                <w:sz w:val="18"/>
                <w:szCs w:val="18"/>
              </w:rPr>
            </w:pPr>
            <w:r>
              <w:rPr>
                <w:rFonts w:hint="eastAsia" w:ascii="仿宋" w:hAnsi="仿宋" w:eastAsia="仿宋" w:cs="仿宋"/>
                <w:sz w:val="18"/>
                <w:szCs w:val="18"/>
              </w:rPr>
              <w:t>因焊口数增加某公司承诺给分包单位补偿金额</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 xml:space="preserve">1000000 </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left"/>
              <w:rPr>
                <w:rFonts w:hint="eastAsia" w:ascii="仿宋" w:hAnsi="仿宋" w:eastAsia="仿宋" w:cs="仿宋"/>
                <w:sz w:val="18"/>
                <w:szCs w:val="18"/>
              </w:rPr>
            </w:pPr>
            <w:r>
              <w:rPr>
                <w:rFonts w:hint="eastAsia" w:ascii="仿宋" w:hAnsi="仿宋" w:eastAsia="仿宋" w:cs="仿宋"/>
                <w:sz w:val="18"/>
                <w:szCs w:val="18"/>
              </w:rPr>
              <w:t>据调研了解，目前某公司正在和劳务班组协商中</w:t>
            </w:r>
          </w:p>
        </w:tc>
      </w:tr>
      <w:tr>
        <w:tblPrEx>
          <w:tblLayout w:type="fixed"/>
          <w:tblCellMar>
            <w:top w:w="15" w:type="dxa"/>
            <w:left w:w="15" w:type="dxa"/>
            <w:bottom w:w="15" w:type="dxa"/>
            <w:right w:w="15" w:type="dxa"/>
          </w:tblCellMar>
        </w:tblPrEx>
        <w:trPr>
          <w:trHeight w:val="72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2</w:t>
            </w:r>
          </w:p>
        </w:tc>
        <w:tc>
          <w:tcPr>
            <w:tcW w:w="3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left"/>
              <w:rPr>
                <w:rFonts w:hint="eastAsia" w:ascii="仿宋" w:hAnsi="仿宋" w:eastAsia="仿宋" w:cs="仿宋"/>
                <w:sz w:val="18"/>
                <w:szCs w:val="18"/>
              </w:rPr>
            </w:pPr>
            <w:r>
              <w:rPr>
                <w:rFonts w:hint="eastAsia" w:ascii="仿宋" w:hAnsi="仿宋" w:eastAsia="仿宋" w:cs="仿宋"/>
                <w:sz w:val="18"/>
                <w:szCs w:val="18"/>
              </w:rPr>
              <w:t>因焊口数增加金属检验增加的成本</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 xml:space="preserve">464000 </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sz w:val="18"/>
                <w:szCs w:val="18"/>
              </w:rPr>
            </w:pPr>
            <w:r>
              <w:rPr>
                <w:rFonts w:hint="eastAsia" w:ascii="仿宋" w:hAnsi="仿宋" w:eastAsia="仿宋" w:cs="仿宋"/>
                <w:sz w:val="18"/>
                <w:szCs w:val="18"/>
              </w:rPr>
              <w:t>按4000焊口估算，每个焊口2张片，单价58元/片</w:t>
            </w:r>
          </w:p>
        </w:tc>
      </w:tr>
      <w:tr>
        <w:tblPrEx>
          <w:tblLayout w:type="fixed"/>
          <w:tblCellMar>
            <w:top w:w="15" w:type="dxa"/>
            <w:left w:w="15" w:type="dxa"/>
            <w:bottom w:w="15" w:type="dxa"/>
            <w:right w:w="15" w:type="dxa"/>
          </w:tblCellMar>
        </w:tblPrEx>
        <w:trPr>
          <w:trHeight w:val="720" w:hRule="atLeast"/>
          <w:jc w:val="center"/>
        </w:trPr>
        <w:tc>
          <w:tcPr>
            <w:tcW w:w="10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b/>
                <w:bCs/>
                <w:sz w:val="18"/>
                <w:szCs w:val="18"/>
              </w:rPr>
            </w:pPr>
            <w:r>
              <w:rPr>
                <w:rFonts w:hint="eastAsia" w:ascii="仿宋" w:hAnsi="仿宋" w:eastAsia="仿宋" w:cs="仿宋"/>
                <w:b/>
                <w:bCs/>
                <w:sz w:val="18"/>
                <w:szCs w:val="18"/>
              </w:rPr>
              <w:t>三</w:t>
            </w:r>
          </w:p>
        </w:tc>
        <w:tc>
          <w:tcPr>
            <w:tcW w:w="36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b/>
                <w:bCs/>
                <w:sz w:val="18"/>
                <w:szCs w:val="18"/>
              </w:rPr>
            </w:pPr>
            <w:r>
              <w:rPr>
                <w:rFonts w:hint="eastAsia" w:ascii="仿宋" w:hAnsi="仿宋" w:eastAsia="仿宋" w:cs="仿宋"/>
                <w:b/>
                <w:bCs/>
                <w:sz w:val="18"/>
                <w:szCs w:val="18"/>
              </w:rPr>
              <w:t>实际预计增加成本</w:t>
            </w:r>
          </w:p>
        </w:tc>
        <w:tc>
          <w:tcPr>
            <w:tcW w:w="20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val="0"/>
              <w:snapToGrid w:val="0"/>
              <w:spacing w:line="360" w:lineRule="auto"/>
              <w:ind w:left="0" w:leftChars="0"/>
              <w:jc w:val="center"/>
              <w:textAlignment w:val="center"/>
              <w:rPr>
                <w:rFonts w:hint="eastAsia" w:ascii="仿宋" w:hAnsi="仿宋" w:eastAsia="仿宋" w:cs="仿宋"/>
                <w:b/>
                <w:bCs/>
                <w:sz w:val="18"/>
                <w:szCs w:val="18"/>
              </w:rPr>
            </w:pPr>
            <w:r>
              <w:rPr>
                <w:rFonts w:hint="eastAsia" w:ascii="仿宋" w:hAnsi="仿宋" w:eastAsia="仿宋" w:cs="仿宋"/>
                <w:b/>
                <w:bCs/>
                <w:sz w:val="18"/>
                <w:szCs w:val="18"/>
              </w:rPr>
              <w:t xml:space="preserve">2782978 </w:t>
            </w:r>
          </w:p>
        </w:tc>
        <w:tc>
          <w:tcPr>
            <w:tcW w:w="20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b/>
                <w:bCs/>
                <w:sz w:val="18"/>
                <w:szCs w:val="18"/>
              </w:rPr>
            </w:pPr>
          </w:p>
        </w:tc>
      </w:tr>
    </w:tbl>
    <w:p>
      <w:pPr>
        <w:pStyle w:val="3"/>
        <w:keepNext w:val="0"/>
        <w:keepLines w:val="0"/>
        <w:pageBreakBefore w:val="0"/>
        <w:kinsoku/>
        <w:wordWrap/>
        <w:overflowPunct/>
        <w:topLinePunct w:val="0"/>
        <w:autoSpaceDE/>
        <w:autoSpaceDN/>
        <w:bidi w:val="0"/>
        <w:adjustRightInd w:val="0"/>
        <w:snapToGrid w:val="0"/>
        <w:spacing w:line="360" w:lineRule="auto"/>
        <w:ind w:left="0" w:leftChars="0" w:firstLine="422" w:firstLineChars="200"/>
        <w:rPr>
          <w:rFonts w:hint="eastAsia" w:ascii="仿宋" w:hAnsi="仿宋" w:eastAsia="仿宋" w:cs="仿宋"/>
          <w:b/>
          <w:bCs/>
          <w:szCs w:val="32"/>
        </w:rPr>
      </w:pP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val="0"/>
        <w:snapToGrid w:val="0"/>
        <w:spacing w:line="360" w:lineRule="auto"/>
        <w:ind w:left="0" w:leftChars="0" w:firstLine="482" w:firstLineChars="200"/>
        <w:rPr>
          <w:rFonts w:hint="eastAsia" w:ascii="仿宋" w:hAnsi="仿宋" w:eastAsia="仿宋" w:cs="仿宋"/>
          <w:b/>
          <w:bCs/>
          <w:sz w:val="24"/>
          <w:szCs w:val="24"/>
        </w:rPr>
      </w:pPr>
      <w:r>
        <w:rPr>
          <w:rFonts w:hint="eastAsia" w:ascii="仿宋" w:hAnsi="仿宋" w:eastAsia="仿宋" w:cs="仿宋"/>
          <w:b/>
          <w:bCs/>
          <w:sz w:val="24"/>
          <w:szCs w:val="24"/>
          <w:lang w:val="en-US" w:eastAsia="zh-CN"/>
        </w:rPr>
        <w:t>四</w:t>
      </w:r>
      <w:r>
        <w:rPr>
          <w:rFonts w:hint="eastAsia" w:ascii="仿宋" w:hAnsi="仿宋" w:eastAsia="仿宋" w:cs="仿宋"/>
          <w:b/>
          <w:bCs/>
          <w:sz w:val="24"/>
          <w:szCs w:val="24"/>
        </w:rPr>
        <w:t>、单个焊口单价的测算</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sz w:val="24"/>
          <w:szCs w:val="24"/>
        </w:rPr>
      </w:pPr>
      <w:r>
        <w:rPr>
          <w:rFonts w:hint="eastAsia" w:ascii="仿宋" w:hAnsi="仿宋" w:eastAsia="仿宋" w:cs="仿宋"/>
          <w:sz w:val="24"/>
          <w:szCs w:val="24"/>
        </w:rPr>
        <w:t>经与现场造价咨询单位沟通，共同认可参考《电力建设焊接专业施工定额》（原电力工业部电力定额站1994年版）中第9册（焊接、热处理、焊缝检验）中86条对应的Φ57×5氩弧焊碳钢材质的定额消耗量，结合当前的市场价水平编制，测算焊口全费用单价为440.62元/道。按主标下浮率17.34%下浮后单价为364.22元/道。</w:t>
      </w:r>
    </w:p>
    <w:p>
      <w:pPr>
        <w:pStyle w:val="3"/>
        <w:keepNext w:val="0"/>
        <w:keepLines w:val="0"/>
        <w:pageBreakBefore w:val="0"/>
        <w:kinsoku/>
        <w:wordWrap/>
        <w:overflowPunct/>
        <w:topLinePunct w:val="0"/>
        <w:autoSpaceDE/>
        <w:autoSpaceDN/>
        <w:bidi w:val="0"/>
        <w:adjustRightInd w:val="0"/>
        <w:snapToGrid w:val="0"/>
        <w:spacing w:line="360" w:lineRule="auto"/>
        <w:ind w:left="0" w:leftChars="0" w:firstLine="482" w:firstLineChars="200"/>
        <w:rPr>
          <w:rFonts w:hint="eastAsia" w:ascii="仿宋" w:hAnsi="仿宋" w:eastAsia="仿宋" w:cs="仿宋"/>
          <w:b/>
          <w:bCs/>
          <w:sz w:val="24"/>
          <w:szCs w:val="24"/>
        </w:rPr>
      </w:pPr>
      <w:r>
        <w:rPr>
          <w:rFonts w:hint="eastAsia" w:ascii="仿宋" w:hAnsi="仿宋" w:eastAsia="仿宋" w:cs="仿宋"/>
          <w:b/>
          <w:bCs/>
          <w:sz w:val="24"/>
          <w:szCs w:val="24"/>
          <w:lang w:val="en-US" w:eastAsia="zh-CN"/>
        </w:rPr>
        <w:t>五</w:t>
      </w:r>
      <w:r>
        <w:rPr>
          <w:rFonts w:hint="eastAsia" w:ascii="仿宋" w:hAnsi="仿宋" w:eastAsia="仿宋" w:cs="仿宋"/>
          <w:b/>
          <w:bCs/>
          <w:sz w:val="24"/>
          <w:szCs w:val="24"/>
        </w:rPr>
        <w:t>、调研结论</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sz w:val="24"/>
          <w:szCs w:val="24"/>
        </w:rPr>
      </w:pPr>
      <w:r>
        <w:rPr>
          <w:rFonts w:hint="eastAsia" w:ascii="仿宋" w:hAnsi="仿宋" w:eastAsia="仿宋" w:cs="仿宋"/>
          <w:sz w:val="24"/>
          <w:szCs w:val="24"/>
        </w:rPr>
        <w:t>1.某公司合同中余热锅炉焊口技术协议约定单台余热炉本体（除小口径管外）约7000道焊口，而目前实际上单台余热锅炉焊口数量（除小口径管外）为11524道，存在较大偏差。每台余热锅炉增加4524道，增加比例为64.6%。</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sz w:val="24"/>
          <w:szCs w:val="24"/>
        </w:rPr>
      </w:pPr>
      <w:r>
        <w:rPr>
          <w:rFonts w:hint="eastAsia" w:ascii="仿宋" w:hAnsi="仿宋" w:eastAsia="仿宋" w:cs="仿宋"/>
          <w:sz w:val="24"/>
          <w:szCs w:val="24"/>
        </w:rPr>
        <w:t>2.经初步原因分析，因技术优化和技术创新增加了1554道焊口，因模块化程度低增加3055道焊口，共增加焊口约4609道，基本第1条中4524数据相差不大，如按照模块化供货，预计焊口数会大幅减少。</w:t>
      </w:r>
    </w:p>
    <w:p>
      <w:pPr>
        <w:keepNext w:val="0"/>
        <w:keepLines w:val="0"/>
        <w:pageBreakBefore w:val="0"/>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3.由于上述焊口大幅增加，导致施工单位的施工成本大幅增加，增加幅度远超出其合理的风险承受能力，情况属实，建议与施工单位协商，对非其责任造成的给予补偿</w:t>
      </w:r>
      <w:r>
        <w:rPr>
          <w:rFonts w:hint="eastAsia" w:ascii="仿宋" w:hAnsi="仿宋" w:eastAsia="仿宋" w:cs="仿宋"/>
          <w:sz w:val="24"/>
          <w:szCs w:val="24"/>
          <w:lang w:eastAsia="zh-CN"/>
        </w:rPr>
        <w:t>。</w:t>
      </w:r>
    </w:p>
    <w:p>
      <w:pPr>
        <w:pStyle w:val="3"/>
        <w:keepNext w:val="0"/>
        <w:keepLines w:val="0"/>
        <w:pageBreakBefore w:val="0"/>
        <w:kinsoku/>
        <w:wordWrap/>
        <w:overflowPunct/>
        <w:topLinePunct w:val="0"/>
        <w:autoSpaceDE/>
        <w:autoSpaceDN/>
        <w:bidi w:val="0"/>
        <w:adjustRightInd w:val="0"/>
        <w:snapToGrid w:val="0"/>
        <w:spacing w:line="360" w:lineRule="auto"/>
        <w:ind w:left="0" w:leftChars="0" w:firstLine="482" w:firstLineChars="200"/>
        <w:rPr>
          <w:rFonts w:hint="eastAsia" w:ascii="仿宋" w:hAnsi="仿宋" w:eastAsia="仿宋" w:cs="仿宋"/>
          <w:b/>
          <w:bCs/>
          <w:kern w:val="0"/>
          <w:sz w:val="24"/>
          <w:szCs w:val="24"/>
          <w:lang w:val="en-US" w:eastAsia="zh-CN"/>
        </w:rPr>
      </w:pPr>
      <w:r>
        <w:rPr>
          <w:rFonts w:hint="eastAsia" w:ascii="仿宋" w:hAnsi="仿宋" w:eastAsia="仿宋" w:cs="仿宋"/>
          <w:b/>
          <w:bCs/>
          <w:kern w:val="0"/>
          <w:sz w:val="24"/>
          <w:szCs w:val="24"/>
          <w:lang w:eastAsia="zh-CN"/>
        </w:rPr>
        <w:t>（</w:t>
      </w:r>
      <w:r>
        <w:rPr>
          <w:rFonts w:hint="eastAsia" w:ascii="仿宋" w:hAnsi="仿宋" w:eastAsia="仿宋" w:cs="仿宋"/>
          <w:b/>
          <w:bCs/>
          <w:kern w:val="0"/>
          <w:sz w:val="24"/>
          <w:szCs w:val="24"/>
          <w:lang w:val="en-US" w:eastAsia="zh-CN"/>
        </w:rPr>
        <w:t>二</w:t>
      </w:r>
      <w:r>
        <w:rPr>
          <w:rFonts w:hint="eastAsia" w:ascii="仿宋" w:hAnsi="仿宋" w:eastAsia="仿宋" w:cs="仿宋"/>
          <w:b/>
          <w:bCs/>
          <w:kern w:val="0"/>
          <w:sz w:val="24"/>
          <w:szCs w:val="24"/>
          <w:lang w:eastAsia="zh-CN"/>
        </w:rPr>
        <w:t>）</w:t>
      </w:r>
      <w:r>
        <w:rPr>
          <w:rFonts w:hint="eastAsia" w:ascii="仿宋" w:hAnsi="仿宋" w:eastAsia="仿宋" w:cs="仿宋"/>
          <w:b/>
          <w:bCs/>
          <w:kern w:val="0"/>
          <w:sz w:val="24"/>
          <w:szCs w:val="24"/>
          <w:lang w:val="en-US" w:eastAsia="zh-CN"/>
        </w:rPr>
        <w:t>咨询其他成果：</w:t>
      </w:r>
    </w:p>
    <w:p>
      <w:pPr>
        <w:pStyle w:val="3"/>
        <w:keepNext w:val="0"/>
        <w:keepLines w:val="0"/>
        <w:pageBreakBefore w:val="0"/>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在本次全过程咨询服务过程中，我公司还利用BIM技术建立项目模型，协助业务全方位的管理项目，保证了项目的进度、投资控制。同时项目组发挥鲁班算量软件、广联达算量软件算量作用，减少了工程结算中人为因素，缩短了工程结算时间，使工程结算更好更快的完成。</w:t>
      </w:r>
    </w:p>
    <w:p>
      <w:pPr>
        <w:keepNext w:val="0"/>
        <w:keepLines w:val="0"/>
        <w:pageBreakBefore w:val="0"/>
        <w:kinsoku/>
        <w:wordWrap/>
        <w:overflowPunct/>
        <w:topLinePunct w:val="0"/>
        <w:autoSpaceDE/>
        <w:autoSpaceDN/>
        <w:bidi w:val="0"/>
        <w:adjustRightInd w:val="0"/>
        <w:snapToGrid w:val="0"/>
        <w:spacing w:line="360" w:lineRule="auto"/>
        <w:ind w:left="0" w:leftChars="0"/>
        <w:rPr>
          <w:rFonts w:hint="eastAsia" w:ascii="仿宋" w:hAnsi="仿宋" w:eastAsia="仿宋" w:cs="仿宋"/>
          <w:sz w:val="24"/>
          <w:szCs w:val="24"/>
          <w:lang w:eastAsia="zh-CN"/>
        </w:rPr>
      </w:pPr>
    </w:p>
    <w:p>
      <w:pPr>
        <w:keepNext w:val="0"/>
        <w:keepLines w:val="0"/>
        <w:pageBreakBefore w:val="0"/>
        <w:kinsoku/>
        <w:wordWrap/>
        <w:overflowPunct/>
        <w:topLinePunct w:val="0"/>
        <w:autoSpaceDE/>
        <w:autoSpaceDN/>
        <w:bidi w:val="0"/>
        <w:adjustRightInd w:val="0"/>
        <w:snapToGrid w:val="0"/>
        <w:spacing w:line="360" w:lineRule="auto"/>
        <w:ind w:left="0" w:leftChars="0"/>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drawing>
          <wp:inline distT="0" distB="0" distL="114300" distR="114300">
            <wp:extent cx="4548505" cy="3411220"/>
            <wp:effectExtent l="0" t="0" r="10795" b="5080"/>
            <wp:docPr id="4" name="图片 4" descr="IMG_20190625_1029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0190625_102902"/>
                    <pic:cNvPicPr>
                      <a:picLocks noChangeAspect="1"/>
                    </pic:cNvPicPr>
                  </pic:nvPicPr>
                  <pic:blipFill>
                    <a:blip r:embed="rId6"/>
                    <a:stretch>
                      <a:fillRect/>
                    </a:stretch>
                  </pic:blipFill>
                  <pic:spPr>
                    <a:xfrm>
                      <a:off x="0" y="0"/>
                      <a:ext cx="4548505" cy="3411517"/>
                    </a:xfrm>
                    <a:prstGeom prst="rect">
                      <a:avLst/>
                    </a:prstGeom>
                  </pic:spPr>
                </pic:pic>
              </a:graphicData>
            </a:graphic>
          </wp:inline>
        </w:drawing>
      </w:r>
    </w:p>
    <w:p>
      <w:pPr>
        <w:keepNext w:val="0"/>
        <w:keepLines w:val="0"/>
        <w:pageBreakBefore w:val="0"/>
        <w:kinsoku/>
        <w:wordWrap/>
        <w:overflowPunct/>
        <w:topLinePunct w:val="0"/>
        <w:autoSpaceDE/>
        <w:autoSpaceDN/>
        <w:bidi w:val="0"/>
        <w:adjustRightInd w:val="0"/>
        <w:snapToGrid w:val="0"/>
        <w:spacing w:line="360" w:lineRule="auto"/>
        <w:ind w:left="0" w:leftChars="0" w:firstLine="1050" w:firstLineChars="500"/>
        <w:rPr>
          <w:rFonts w:hint="eastAsia" w:ascii="仿宋" w:hAnsi="仿宋" w:eastAsia="仿宋" w:cs="仿宋"/>
          <w:kern w:val="0"/>
          <w:sz w:val="24"/>
          <w:szCs w:val="24"/>
        </w:rPr>
      </w:pPr>
      <w:r>
        <w:rPr>
          <w:rFonts w:hint="eastAsia" w:ascii="仿宋" w:hAnsi="仿宋" w:eastAsia="仿宋" w:cs="仿宋"/>
          <w:bCs/>
          <w:kern w:val="0"/>
          <w:szCs w:val="21"/>
        </w:rPr>
        <w:t>图2  综合办公楼鲁班算量软件效果图</w:t>
      </w:r>
    </w:p>
    <w:p>
      <w:pPr>
        <w:keepNext w:val="0"/>
        <w:keepLines w:val="0"/>
        <w:pageBreakBefore w:val="0"/>
        <w:kinsoku/>
        <w:wordWrap/>
        <w:overflowPunct/>
        <w:topLinePunct w:val="0"/>
        <w:autoSpaceDE/>
        <w:autoSpaceDN/>
        <w:bidi w:val="0"/>
        <w:adjustRightInd w:val="0"/>
        <w:snapToGrid w:val="0"/>
        <w:spacing w:line="360" w:lineRule="auto"/>
        <w:ind w:left="0" w:leftChars="0"/>
        <w:rPr>
          <w:rFonts w:hint="eastAsia" w:ascii="仿宋" w:hAnsi="仿宋" w:eastAsia="仿宋" w:cs="仿宋"/>
          <w:kern w:val="0"/>
          <w:sz w:val="24"/>
          <w:szCs w:val="24"/>
        </w:rPr>
      </w:pPr>
    </w:p>
    <w:p>
      <w:pPr>
        <w:keepNext w:val="0"/>
        <w:keepLines w:val="0"/>
        <w:pageBreakBefore w:val="0"/>
        <w:kinsoku/>
        <w:wordWrap/>
        <w:overflowPunct/>
        <w:topLinePunct w:val="0"/>
        <w:autoSpaceDE/>
        <w:autoSpaceDN/>
        <w:bidi w:val="0"/>
        <w:adjustRightInd w:val="0"/>
        <w:snapToGrid w:val="0"/>
        <w:spacing w:line="360" w:lineRule="auto"/>
        <w:ind w:left="0" w:leftChars="0"/>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 xml:space="preserve">        </w:t>
      </w:r>
      <w:r>
        <w:rPr>
          <w:rFonts w:hint="eastAsia" w:ascii="仿宋" w:hAnsi="仿宋" w:eastAsia="仿宋" w:cs="仿宋"/>
          <w:kern w:val="0"/>
          <w:sz w:val="24"/>
          <w:szCs w:val="24"/>
        </w:rPr>
        <w:drawing>
          <wp:inline distT="0" distB="0" distL="114300" distR="114300">
            <wp:extent cx="4554855" cy="3416300"/>
            <wp:effectExtent l="0" t="0" r="4445" b="0"/>
            <wp:docPr id="2" name="图片 2" descr="IMG_20190625_103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0190625_103510"/>
                    <pic:cNvPicPr>
                      <a:picLocks noChangeAspect="1"/>
                    </pic:cNvPicPr>
                  </pic:nvPicPr>
                  <pic:blipFill>
                    <a:blip r:embed="rId7"/>
                    <a:stretch>
                      <a:fillRect/>
                    </a:stretch>
                  </pic:blipFill>
                  <pic:spPr>
                    <a:xfrm>
                      <a:off x="0" y="0"/>
                      <a:ext cx="4554883" cy="3416300"/>
                    </a:xfrm>
                    <a:prstGeom prst="rect">
                      <a:avLst/>
                    </a:prstGeom>
                  </pic:spPr>
                </pic:pic>
              </a:graphicData>
            </a:graphic>
          </wp:inline>
        </w:drawing>
      </w:r>
    </w:p>
    <w:p>
      <w:pPr>
        <w:keepNext w:val="0"/>
        <w:keepLines w:val="0"/>
        <w:pageBreakBefore w:val="0"/>
        <w:kinsoku/>
        <w:wordWrap/>
        <w:overflowPunct/>
        <w:topLinePunct w:val="0"/>
        <w:autoSpaceDE/>
        <w:autoSpaceDN/>
        <w:bidi w:val="0"/>
        <w:adjustRightInd w:val="0"/>
        <w:snapToGrid w:val="0"/>
        <w:spacing w:line="360" w:lineRule="auto"/>
        <w:ind w:left="0" w:leftChars="0"/>
        <w:rPr>
          <w:rFonts w:hint="eastAsia" w:ascii="仿宋" w:hAnsi="仿宋" w:eastAsia="仿宋" w:cs="仿宋"/>
          <w:kern w:val="0"/>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ind w:left="0" w:leftChars="0"/>
        <w:rPr>
          <w:rFonts w:hint="eastAsia" w:ascii="仿宋" w:hAnsi="仿宋" w:eastAsia="仿宋" w:cs="仿宋"/>
          <w:kern w:val="0"/>
          <w:sz w:val="24"/>
          <w:szCs w:val="24"/>
          <w:lang w:val="en-US" w:eastAsia="zh-CN"/>
        </w:rPr>
        <w:sectPr>
          <w:pgSz w:w="11906" w:h="16838"/>
          <w:pgMar w:top="1418" w:right="1358" w:bottom="426" w:left="1588" w:header="851" w:footer="585" w:gutter="0"/>
          <w:pgNumType w:fmt="numberInDash"/>
          <w:cols w:space="720" w:num="1"/>
          <w:docGrid w:type="lines" w:linePitch="435" w:charSpace="0"/>
        </w:sectPr>
      </w:pPr>
      <w:r>
        <w:rPr>
          <w:rFonts w:hint="eastAsia" w:ascii="仿宋" w:hAnsi="仿宋" w:eastAsia="仿宋" w:cs="仿宋"/>
          <w:kern w:val="0"/>
          <w:sz w:val="24"/>
          <w:szCs w:val="24"/>
          <w:lang w:val="en-US" w:eastAsia="zh-CN"/>
        </w:rPr>
        <w:t xml:space="preserve">          </w:t>
      </w:r>
      <w:r>
        <w:rPr>
          <w:rFonts w:hint="eastAsia" w:ascii="仿宋" w:hAnsi="仿宋" w:eastAsia="仿宋" w:cs="仿宋"/>
          <w:bCs/>
          <w:kern w:val="0"/>
          <w:szCs w:val="21"/>
        </w:rPr>
        <w:t>图3  主厂房广联达算量软件效</w:t>
      </w:r>
    </w:p>
    <w:p>
      <w:pPr>
        <w:pStyle w:val="3"/>
        <w:keepNext w:val="0"/>
        <w:keepLines w:val="0"/>
        <w:pageBreakBefore w:val="0"/>
        <w:kinsoku/>
        <w:wordWrap/>
        <w:overflowPunct/>
        <w:topLinePunct w:val="0"/>
        <w:autoSpaceDE/>
        <w:autoSpaceDN/>
        <w:bidi w:val="0"/>
        <w:adjustRightInd w:val="0"/>
        <w:snapToGrid w:val="0"/>
        <w:spacing w:line="360" w:lineRule="auto"/>
        <w:ind w:left="0" w:leftChars="0"/>
        <w:jc w:val="both"/>
        <w:outlineLvl w:val="0"/>
        <w:rPr>
          <w:rFonts w:hint="eastAsia" w:ascii="仿宋" w:hAnsi="仿宋" w:eastAsia="仿宋" w:cs="仿宋"/>
          <w:b/>
          <w:kern w:val="0"/>
          <w:sz w:val="32"/>
          <w:szCs w:val="32"/>
        </w:rPr>
      </w:pPr>
      <w:r>
        <w:rPr>
          <w:rFonts w:hint="eastAsia" w:ascii="仿宋" w:hAnsi="仿宋" w:eastAsia="仿宋" w:cs="仿宋"/>
          <w:b/>
          <w:kern w:val="0"/>
          <w:sz w:val="32"/>
          <w:szCs w:val="32"/>
        </w:rPr>
        <w:t>五、思考和建议</w:t>
      </w:r>
    </w:p>
    <w:p>
      <w:pPr>
        <w:pStyle w:val="3"/>
        <w:keepNext w:val="0"/>
        <w:keepLines w:val="0"/>
        <w:pageBreakBefore w:val="0"/>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目前，垃圾分类已经提到了国家的管理层面，将来大量的垃圾处理是人类无法回避的问题，垃圾发电是国家新能源发展的一个方向。我公司全过程跟踪的垃圾发电厂项目是目前全国垃圾处理能力最大、垃圾处理工艺最先进、环境处理最安全的一个案例，将来将会有更多的类似项目需要咨询单位参与，是我们造价咨询公司全过程咨询业务发展的一个突破口。</w:t>
      </w:r>
    </w:p>
    <w:p>
      <w:pPr>
        <w:pStyle w:val="3"/>
        <w:keepNext w:val="0"/>
        <w:keepLines w:val="0"/>
        <w:pageBreakBefore w:val="0"/>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该项目有咨询公司和会计师事务所联合全过程咨询，充分发挥了造价咨询公司咨询管理方面的优势，及会计师事务所项目成本的控制优势，通过咨询服务，</w:t>
      </w:r>
      <w:r>
        <w:rPr>
          <w:rFonts w:hint="eastAsia" w:ascii="仿宋" w:hAnsi="仿宋" w:eastAsia="仿宋" w:cs="仿宋"/>
          <w:kern w:val="0"/>
          <w:sz w:val="24"/>
          <w:szCs w:val="24"/>
          <w:lang w:val="en-US" w:eastAsia="zh-CN"/>
        </w:rPr>
        <w:t>业主</w:t>
      </w:r>
      <w:r>
        <w:rPr>
          <w:rFonts w:hint="eastAsia" w:ascii="仿宋" w:hAnsi="仿宋" w:eastAsia="仿宋" w:cs="仿宋"/>
          <w:kern w:val="0"/>
          <w:sz w:val="24"/>
          <w:szCs w:val="24"/>
        </w:rPr>
        <w:t>单位有效的控制了投资成本，通过强化管控提供了项目的实施进展、提高了项目的投资效益；通过全方位预控，预防了生产安全事故的发生，提高了项目的经济效益，会计师事务所的过程介入，减少了项目单位后期的审计风险，降低或规避了项目单位主体的责任风险。同时，有效避免因众多管理关系伴生的贪污风险，有利于规范建筑市场秩序，减少了违法违规的行为。总之，该项目通过委托项目咨询公司和会计师事务所参与，全方面达到了业主的预期目标。</w:t>
      </w:r>
    </w:p>
    <w:p>
      <w:pPr>
        <w:pStyle w:val="3"/>
        <w:keepNext w:val="0"/>
        <w:keepLines w:val="0"/>
        <w:pageBreakBefore w:val="0"/>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r>
        <w:rPr>
          <w:rFonts w:hint="eastAsia" w:ascii="仿宋" w:hAnsi="仿宋" w:eastAsia="仿宋" w:cs="仿宋"/>
          <w:kern w:val="0"/>
          <w:sz w:val="24"/>
          <w:szCs w:val="24"/>
        </w:rPr>
        <w:t>全过程咨询工作贯穿项目建设的全过程，同时也是建设业主的实际需要，特别是这类大型项目，采用全过程跟踪咨询会达到业主意想不到的结果。</w:t>
      </w:r>
      <w:r>
        <w:rPr>
          <w:rFonts w:hint="eastAsia" w:ascii="仿宋" w:hAnsi="仿宋" w:eastAsia="仿宋" w:cs="仿宋"/>
          <w:kern w:val="0"/>
          <w:sz w:val="24"/>
          <w:szCs w:val="24"/>
          <w:lang w:val="en-US" w:eastAsia="zh-CN"/>
        </w:rPr>
        <w:t>现在全社会都在推广全过程咨询，各个地方对全过程咨询的定义和范围不近统一，</w:t>
      </w:r>
      <w:r>
        <w:rPr>
          <w:rFonts w:hint="eastAsia" w:ascii="仿宋" w:hAnsi="仿宋" w:eastAsia="仿宋" w:cs="仿宋"/>
          <w:kern w:val="0"/>
          <w:sz w:val="24"/>
          <w:szCs w:val="24"/>
        </w:rPr>
        <w:t>但是全过程咨询服务采用何种模式，如何组织，完全取决于需求方，</w:t>
      </w:r>
      <w:r>
        <w:rPr>
          <w:rFonts w:hint="eastAsia" w:ascii="仿宋" w:hAnsi="仿宋" w:eastAsia="仿宋" w:cs="仿宋"/>
          <w:kern w:val="0"/>
          <w:sz w:val="24"/>
          <w:szCs w:val="24"/>
          <w:lang w:val="en-US" w:eastAsia="zh-CN"/>
        </w:rPr>
        <w:t>该项目由</w:t>
      </w:r>
      <w:r>
        <w:rPr>
          <w:rFonts w:hint="eastAsia" w:ascii="仿宋" w:hAnsi="仿宋" w:eastAsia="仿宋" w:cs="仿宋"/>
          <w:kern w:val="0"/>
          <w:sz w:val="24"/>
          <w:szCs w:val="24"/>
        </w:rPr>
        <w:t>项目咨询+财务咨询目前看来对政府资金、国有企业资金是有优势的。未来的全过程咨询服务工作会呈现多元化发展。建议咨询业顺应建筑行业发展趋势，分行业、分类型，逐步建立全过程咨询管理的案例库和技术经济指标信息库，提高咨询工作的效率与质量</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为委托单位提供真正意义上的全过程咨询，为业主的投资创造最大的效益</w:t>
      </w:r>
      <w:r>
        <w:rPr>
          <w:rFonts w:hint="eastAsia" w:ascii="仿宋" w:hAnsi="仿宋" w:eastAsia="仿宋" w:cs="仿宋"/>
          <w:kern w:val="0"/>
          <w:sz w:val="24"/>
          <w:szCs w:val="24"/>
        </w:rPr>
        <w:t>。</w:t>
      </w:r>
    </w:p>
    <w:p>
      <w:pPr>
        <w:pStyle w:val="3"/>
        <w:keepNext w:val="0"/>
        <w:keepLines w:val="0"/>
        <w:pageBreakBefore w:val="0"/>
        <w:kinsoku/>
        <w:wordWrap/>
        <w:overflowPunct/>
        <w:topLinePunct w:val="0"/>
        <w:autoSpaceDE/>
        <w:autoSpaceDN/>
        <w:bidi w:val="0"/>
        <w:adjustRightInd w:val="0"/>
        <w:snapToGrid w:val="0"/>
        <w:spacing w:line="360" w:lineRule="auto"/>
        <w:ind w:left="0" w:leftChars="0" w:firstLine="480" w:firstLineChars="200"/>
        <w:rPr>
          <w:rFonts w:hint="eastAsia" w:ascii="仿宋" w:hAnsi="仿宋" w:eastAsia="仿宋" w:cs="仿宋"/>
          <w:kern w:val="0"/>
          <w:sz w:val="24"/>
          <w:szCs w:val="24"/>
        </w:rPr>
      </w:pPr>
    </w:p>
    <w:p>
      <w:pPr>
        <w:keepNext w:val="0"/>
        <w:keepLines w:val="0"/>
        <w:pageBreakBefore w:val="0"/>
        <w:widowControl/>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kern w:val="0"/>
          <w:sz w:val="24"/>
          <w:szCs w:val="24"/>
        </w:rPr>
      </w:pPr>
    </w:p>
    <w:p>
      <w:pPr>
        <w:keepNext w:val="0"/>
        <w:keepLines w:val="0"/>
        <w:pageBreakBefore w:val="0"/>
        <w:tabs>
          <w:tab w:val="left" w:pos="1611"/>
        </w:tabs>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kern w:val="0"/>
          <w:sz w:val="24"/>
          <w:szCs w:val="24"/>
        </w:rPr>
      </w:pPr>
    </w:p>
    <w:p>
      <w:pPr>
        <w:keepNext w:val="0"/>
        <w:keepLines w:val="0"/>
        <w:pageBreakBefore w:val="0"/>
        <w:tabs>
          <w:tab w:val="left" w:pos="1611"/>
        </w:tabs>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kern w:val="0"/>
          <w:sz w:val="24"/>
          <w:szCs w:val="24"/>
        </w:rPr>
      </w:pPr>
    </w:p>
    <w:p>
      <w:pPr>
        <w:keepNext w:val="0"/>
        <w:keepLines w:val="0"/>
        <w:pageBreakBefore w:val="0"/>
        <w:tabs>
          <w:tab w:val="left" w:pos="1611"/>
        </w:tabs>
        <w:kinsoku/>
        <w:wordWrap/>
        <w:overflowPunct/>
        <w:topLinePunct w:val="0"/>
        <w:autoSpaceDE/>
        <w:autoSpaceDN/>
        <w:bidi w:val="0"/>
        <w:adjustRightInd w:val="0"/>
        <w:snapToGrid w:val="0"/>
        <w:spacing w:line="360" w:lineRule="auto"/>
        <w:ind w:left="0" w:leftChars="0"/>
        <w:jc w:val="center"/>
        <w:rPr>
          <w:rFonts w:hint="eastAsia" w:ascii="仿宋" w:hAnsi="仿宋" w:eastAsia="仿宋" w:cs="仿宋"/>
          <w:bCs/>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文本框 4" o:spid="_x0000_s2049"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- 13 -</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178ADE"/>
    <w:multiLevelType w:val="singleLevel"/>
    <w:tmpl w:val="CE178ADE"/>
    <w:lvl w:ilvl="0" w:tentative="0">
      <w:start w:val="1"/>
      <w:numFmt w:val="decimal"/>
      <w:suff w:val="nothing"/>
      <w:lvlText w:val="%1、"/>
      <w:lvlJc w:val="left"/>
    </w:lvl>
  </w:abstractNum>
  <w:abstractNum w:abstractNumId="1">
    <w:nsid w:val="CE78817F"/>
    <w:multiLevelType w:val="singleLevel"/>
    <w:tmpl w:val="CE78817F"/>
    <w:lvl w:ilvl="0" w:tentative="0">
      <w:start w:val="2"/>
      <w:numFmt w:val="chineseCounting"/>
      <w:suff w:val="nothing"/>
      <w:lvlText w:val="%1、"/>
      <w:lvlJc w:val="left"/>
      <w:rPr>
        <w:rFonts w:hint="eastAsia"/>
      </w:rPr>
    </w:lvl>
  </w:abstractNum>
  <w:abstractNum w:abstractNumId="2">
    <w:nsid w:val="ECA44E0C"/>
    <w:multiLevelType w:val="singleLevel"/>
    <w:tmpl w:val="ECA44E0C"/>
    <w:lvl w:ilvl="0" w:tentative="0">
      <w:start w:val="2"/>
      <w:numFmt w:val="decimal"/>
      <w:lvlText w:val="%1."/>
      <w:lvlJc w:val="left"/>
      <w:pPr>
        <w:tabs>
          <w:tab w:val="left" w:pos="312"/>
        </w:tabs>
      </w:pPr>
    </w:lvl>
  </w:abstractNum>
  <w:abstractNum w:abstractNumId="3">
    <w:nsid w:val="4CF32014"/>
    <w:multiLevelType w:val="singleLevel"/>
    <w:tmpl w:val="4CF32014"/>
    <w:lvl w:ilvl="0" w:tentative="0">
      <w:start w:val="1"/>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7A7641"/>
    <w:rsid w:val="000122A7"/>
    <w:rsid w:val="00156150"/>
    <w:rsid w:val="00173640"/>
    <w:rsid w:val="0020294A"/>
    <w:rsid w:val="00377DE9"/>
    <w:rsid w:val="003D3629"/>
    <w:rsid w:val="0040272E"/>
    <w:rsid w:val="00403DE5"/>
    <w:rsid w:val="004B200D"/>
    <w:rsid w:val="004B308F"/>
    <w:rsid w:val="00522D8D"/>
    <w:rsid w:val="00567C1B"/>
    <w:rsid w:val="005942AB"/>
    <w:rsid w:val="005E16CB"/>
    <w:rsid w:val="006303A1"/>
    <w:rsid w:val="00677985"/>
    <w:rsid w:val="0075587B"/>
    <w:rsid w:val="007A7641"/>
    <w:rsid w:val="007F6B56"/>
    <w:rsid w:val="00856EC1"/>
    <w:rsid w:val="00874B56"/>
    <w:rsid w:val="00924815"/>
    <w:rsid w:val="009F652A"/>
    <w:rsid w:val="00A06E3B"/>
    <w:rsid w:val="00A167B6"/>
    <w:rsid w:val="00A43734"/>
    <w:rsid w:val="00A65DA8"/>
    <w:rsid w:val="00A935D3"/>
    <w:rsid w:val="00AD3003"/>
    <w:rsid w:val="00B46297"/>
    <w:rsid w:val="00BC163A"/>
    <w:rsid w:val="00C10BA3"/>
    <w:rsid w:val="00C86894"/>
    <w:rsid w:val="00CB025F"/>
    <w:rsid w:val="00D033D1"/>
    <w:rsid w:val="00DE31EB"/>
    <w:rsid w:val="00E42F72"/>
    <w:rsid w:val="00E94FFD"/>
    <w:rsid w:val="00EE6810"/>
    <w:rsid w:val="00F45CBF"/>
    <w:rsid w:val="00FA1177"/>
    <w:rsid w:val="0AF73E86"/>
    <w:rsid w:val="1160589B"/>
    <w:rsid w:val="12E12C0C"/>
    <w:rsid w:val="15CF5BC3"/>
    <w:rsid w:val="16A902DE"/>
    <w:rsid w:val="1E807EBC"/>
    <w:rsid w:val="24E842C9"/>
    <w:rsid w:val="25A92AE1"/>
    <w:rsid w:val="28E95909"/>
    <w:rsid w:val="2A4E3B35"/>
    <w:rsid w:val="2F7A21DB"/>
    <w:rsid w:val="2FA17C4F"/>
    <w:rsid w:val="2FD55791"/>
    <w:rsid w:val="3649441F"/>
    <w:rsid w:val="39155BFC"/>
    <w:rsid w:val="421116C4"/>
    <w:rsid w:val="45033730"/>
    <w:rsid w:val="48C9361D"/>
    <w:rsid w:val="4C506A95"/>
    <w:rsid w:val="50014D3C"/>
    <w:rsid w:val="54537710"/>
    <w:rsid w:val="55EF79D9"/>
    <w:rsid w:val="57F20703"/>
    <w:rsid w:val="5903360D"/>
    <w:rsid w:val="618F7838"/>
    <w:rsid w:val="66417987"/>
    <w:rsid w:val="686A04A4"/>
    <w:rsid w:val="6B71623D"/>
    <w:rsid w:val="6D592608"/>
    <w:rsid w:val="6DA6570B"/>
    <w:rsid w:val="78340055"/>
    <w:rsid w:val="7D116CF1"/>
    <w:rsid w:val="7E3C4A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64"/>
        <o:r id="V:Rule2" type="connector" idref="#_x0000_s1065"/>
        <o:r id="V:Rule3" type="connector" idref="#_x0000_s1066"/>
        <o:r id="V:Rule4" type="connector" idref="#_x0000_s1067"/>
        <o:r id="V:Rule5" type="connector" idref="#_x0000_s1068"/>
        <o:r id="V:Rule6" type="connector" idref="#_x0000_s1069"/>
        <o:r id="V:Rule7" type="connector" idref="#_x0000_s1070"/>
        <o:r id="V:Rule8" type="connector" idref="#_x0000_s107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21"/>
    <w:semiHidden/>
    <w:unhideWhenUsed/>
    <w:uiPriority w:val="99"/>
    <w:rPr>
      <w:rFonts w:ascii="宋体" w:eastAsia="宋体"/>
      <w:sz w:val="18"/>
      <w:szCs w:val="18"/>
    </w:rPr>
  </w:style>
  <w:style w:type="paragraph" w:styleId="3">
    <w:name w:val="Plain Text"/>
    <w:basedOn w:val="1"/>
    <w:qFormat/>
    <w:uiPriority w:val="0"/>
    <w:rPr>
      <w:rFonts w:ascii="宋体" w:hAnsi="Courier New" w:eastAsia="宋体" w:cs="Courier New"/>
      <w:szCs w:val="21"/>
    </w:rPr>
  </w:style>
  <w:style w:type="paragraph" w:styleId="4">
    <w:name w:val="Date"/>
    <w:basedOn w:val="1"/>
    <w:next w:val="1"/>
    <w:link w:val="20"/>
    <w:semiHidden/>
    <w:unhideWhenUsed/>
    <w:uiPriority w:val="99"/>
    <w:pPr>
      <w:ind w:left="100" w:leftChars="2500"/>
    </w:pPr>
  </w:style>
  <w:style w:type="paragraph" w:styleId="5">
    <w:name w:val="Balloon Text"/>
    <w:basedOn w:val="1"/>
    <w:link w:val="14"/>
    <w:semiHidden/>
    <w:unhideWhenUsed/>
    <w:qFormat/>
    <w:uiPriority w:val="99"/>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Autospacing="1" w:afterAutospacing="1"/>
      <w:jc w:val="left"/>
    </w:pPr>
    <w:rPr>
      <w:rFonts w:hint="eastAsia" w:ascii="宋体" w:hAnsi="宋体" w:eastAsia="宋体" w:cs="Times New Roman"/>
      <w:kern w:val="0"/>
      <w:sz w:val="24"/>
      <w:szCs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2">
    <w:name w:val="Strong"/>
    <w:basedOn w:val="11"/>
    <w:qFormat/>
    <w:uiPriority w:val="22"/>
    <w:rPr>
      <w:b/>
    </w:rPr>
  </w:style>
  <w:style w:type="paragraph" w:styleId="13">
    <w:name w:val="List Paragraph"/>
    <w:basedOn w:val="1"/>
    <w:qFormat/>
    <w:uiPriority w:val="34"/>
    <w:pPr>
      <w:ind w:firstLine="420" w:firstLineChars="200"/>
    </w:pPr>
  </w:style>
  <w:style w:type="character" w:customStyle="1" w:styleId="14">
    <w:name w:val="批注框文本 Char"/>
    <w:basedOn w:val="11"/>
    <w:link w:val="5"/>
    <w:semiHidden/>
    <w:qFormat/>
    <w:uiPriority w:val="99"/>
    <w:rPr>
      <w:sz w:val="18"/>
      <w:szCs w:val="18"/>
    </w:rPr>
  </w:style>
  <w:style w:type="character" w:customStyle="1" w:styleId="15">
    <w:name w:val="页眉 Char"/>
    <w:basedOn w:val="11"/>
    <w:link w:val="7"/>
    <w:qFormat/>
    <w:uiPriority w:val="99"/>
    <w:rPr>
      <w:kern w:val="2"/>
      <w:sz w:val="18"/>
      <w:szCs w:val="18"/>
    </w:rPr>
  </w:style>
  <w:style w:type="character" w:customStyle="1" w:styleId="16">
    <w:name w:val="页脚 Char"/>
    <w:basedOn w:val="11"/>
    <w:link w:val="6"/>
    <w:qFormat/>
    <w:uiPriority w:val="99"/>
    <w:rPr>
      <w:kern w:val="2"/>
      <w:sz w:val="18"/>
      <w:szCs w:val="18"/>
    </w:rPr>
  </w:style>
  <w:style w:type="paragraph" w:customStyle="1" w:styleId="17">
    <w:name w:val="列出段落1"/>
    <w:basedOn w:val="1"/>
    <w:qFormat/>
    <w:uiPriority w:val="99"/>
    <w:pPr>
      <w:ind w:firstLine="420" w:firstLineChars="200"/>
    </w:pPr>
  </w:style>
  <w:style w:type="character" w:customStyle="1" w:styleId="18">
    <w:name w:val="font101"/>
    <w:basedOn w:val="11"/>
    <w:qFormat/>
    <w:uiPriority w:val="0"/>
    <w:rPr>
      <w:rFonts w:hint="eastAsia" w:ascii="宋体" w:hAnsi="宋体" w:eastAsia="宋体" w:cs="宋体"/>
      <w:color w:val="000000"/>
      <w:sz w:val="16"/>
      <w:szCs w:val="16"/>
      <w:u w:val="none"/>
    </w:rPr>
  </w:style>
  <w:style w:type="character" w:customStyle="1" w:styleId="19">
    <w:name w:val="font51"/>
    <w:basedOn w:val="11"/>
    <w:qFormat/>
    <w:uiPriority w:val="0"/>
    <w:rPr>
      <w:rFonts w:hint="default" w:ascii="Times New Roman" w:hAnsi="Times New Roman" w:cs="Times New Roman"/>
      <w:color w:val="000000"/>
      <w:sz w:val="16"/>
      <w:szCs w:val="16"/>
      <w:u w:val="none"/>
    </w:rPr>
  </w:style>
  <w:style w:type="character" w:customStyle="1" w:styleId="20">
    <w:name w:val="日期 Char"/>
    <w:basedOn w:val="11"/>
    <w:link w:val="4"/>
    <w:semiHidden/>
    <w:qFormat/>
    <w:uiPriority w:val="99"/>
    <w:rPr>
      <w:rFonts w:asciiTheme="minorHAnsi" w:hAnsiTheme="minorHAnsi" w:eastAsiaTheme="minorEastAsia" w:cstheme="minorBidi"/>
      <w:kern w:val="2"/>
      <w:sz w:val="21"/>
      <w:szCs w:val="22"/>
    </w:rPr>
  </w:style>
  <w:style w:type="character" w:customStyle="1" w:styleId="21">
    <w:name w:val="文档结构图 Char"/>
    <w:basedOn w:val="11"/>
    <w:link w:val="2"/>
    <w:semiHidden/>
    <w:qFormat/>
    <w:uiPriority w:val="99"/>
    <w:rPr>
      <w:rFonts w:ascii="宋体" w:hAnsiTheme="minorHAnsi"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sb\Desktop\&#28145;&#22323;&#24314;&#35774;&#24037;&#31243;&#20449;&#24687;&#202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rgbClr val="595959">
                    <a:lumMod val="65000"/>
                    <a:lumOff val="35000"/>
                  </a:srgbClr>
                </a:solidFill>
                <a:latin typeface="+mn-lt"/>
                <a:ea typeface="+mn-ea"/>
                <a:cs typeface="+mn-cs"/>
              </a:defRPr>
            </a:pPr>
            <a:r>
              <a:rPr lang="en-US" altLang="zh-CN"/>
              <a:t>10mm</a:t>
            </a:r>
            <a:r>
              <a:rPr altLang="en-US"/>
              <a:t>厚</a:t>
            </a:r>
            <a:r>
              <a:rPr lang="en-US" altLang="zh-CN"/>
              <a:t>Q235</a:t>
            </a:r>
            <a:r>
              <a:rPr altLang="en-US"/>
              <a:t>钢板市场价格波动曲线图</a:t>
            </a:r>
            <a:endParaRPr lang="en-US" altLang="zh-CN"/>
          </a:p>
        </c:rich>
      </c:tx>
      <c:layout/>
      <c:overlay val="0"/>
      <c:spPr>
        <a:noFill/>
        <a:ln>
          <a:noFill/>
        </a:ln>
        <a:effectLst/>
      </c:spPr>
    </c:title>
    <c:autoTitleDeleted val="0"/>
    <c:plotArea>
      <c:layout/>
      <c:lineChart>
        <c:grouping val="standard"/>
        <c:varyColors val="0"/>
        <c:ser>
          <c:idx val="0"/>
          <c:order val="0"/>
          <c:spPr>
            <a:ln w="28575" cap="rnd" cmpd="sng" algn="ctr">
              <a:solidFill>
                <a:srgbClr val="5B9BD5"/>
              </a:solidFill>
              <a:prstDash val="solid"/>
              <a:round/>
            </a:ln>
            <a:effectLst/>
          </c:spPr>
          <c:marker>
            <c:symbol val="none"/>
          </c:marker>
          <c:dLbls>
            <c:dLbl>
              <c:idx val="0"/>
              <c:delete val="1"/>
            </c:dLbl>
            <c:dLbl>
              <c:idx val="1"/>
              <c:layout/>
              <c:dLblPos val="r"/>
              <c:showLegendKey val="0"/>
              <c:showVal val="1"/>
              <c:showCatName val="0"/>
              <c:showSerName val="0"/>
              <c:showPercent val="0"/>
              <c:showBubbleSize val="0"/>
              <c:extLst>
                <c:ext xmlns:c15="http://schemas.microsoft.com/office/drawing/2012/chart" uri="{CE6537A1-D6FC-4f65-9D91-7224C49458BB}"/>
              </c:extLst>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delete val="1"/>
            </c:dLbl>
            <c:dLbl>
              <c:idx val="12"/>
              <c:delete val="1"/>
            </c:dLbl>
            <c:dLbl>
              <c:idx val="13"/>
              <c:delete val="1"/>
            </c:dLbl>
            <c:dLbl>
              <c:idx val="14"/>
              <c:delete val="1"/>
            </c:dLbl>
            <c:dLbl>
              <c:idx val="15"/>
              <c:layout/>
              <c:dLblPos val="r"/>
              <c:showLegendKey val="0"/>
              <c:showVal val="1"/>
              <c:showCatName val="0"/>
              <c:showSerName val="0"/>
              <c:showPercent val="0"/>
              <c:showBubbleSize val="0"/>
              <c:extLst>
                <c:ext xmlns:c15="http://schemas.microsoft.com/office/drawing/2012/chart" uri="{CE6537A1-D6FC-4f65-9D91-7224C49458BB}"/>
              </c:extLst>
            </c:dLbl>
            <c:dLbl>
              <c:idx val="16"/>
              <c:delete val="1"/>
            </c:dLbl>
            <c:dLbl>
              <c:idx val="17"/>
              <c:delete val="1"/>
            </c:dLbl>
            <c:dLbl>
              <c:idx val="18"/>
              <c:delete val="1"/>
            </c:dLbl>
            <c:dLbl>
              <c:idx val="19"/>
              <c:delete val="1"/>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r"/>
            <c:showLegendKey val="0"/>
            <c:showVal val="0"/>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[深圳建设工程信息价.xlsx]Sheet1!$D$4:$W$4</c:f>
              <c:strCache>
                <c:ptCount val="20"/>
                <c:pt idx="0">
                  <c:v>2017年第2期
</c:v>
                </c:pt>
                <c:pt idx="1">
                  <c:v>2017年第3期
</c:v>
                </c:pt>
                <c:pt idx="2">
                  <c:v>2017年第4期
</c:v>
                </c:pt>
                <c:pt idx="3">
                  <c:v>2017年第5期
</c:v>
                </c:pt>
                <c:pt idx="4">
                  <c:v>2017年第6期
</c:v>
                </c:pt>
                <c:pt idx="5">
                  <c:v>2017年第7期
</c:v>
                </c:pt>
                <c:pt idx="6">
                  <c:v>2017年第8期
</c:v>
                </c:pt>
                <c:pt idx="7">
                  <c:v>2017年第9期
</c:v>
                </c:pt>
                <c:pt idx="8">
                  <c:v>2017年第10期
</c:v>
                </c:pt>
                <c:pt idx="9">
                  <c:v>2017年第11期
</c:v>
                </c:pt>
                <c:pt idx="10">
                  <c:v>2017年第12期
</c:v>
                </c:pt>
                <c:pt idx="11">
                  <c:v>2018年第1期
</c:v>
                </c:pt>
                <c:pt idx="12">
                  <c:v>2018年1月
</c:v>
                </c:pt>
                <c:pt idx="13">
                  <c:v>2018年2月
</c:v>
                </c:pt>
                <c:pt idx="14">
                  <c:v>2018年3月
</c:v>
                </c:pt>
                <c:pt idx="15">
                  <c:v>2018年4月
</c:v>
                </c:pt>
                <c:pt idx="16">
                  <c:v>2018年5月
</c:v>
                </c:pt>
                <c:pt idx="17">
                  <c:v>2018年6月
</c:v>
                </c:pt>
                <c:pt idx="18">
                  <c:v>2018年7月
</c:v>
                </c:pt>
                <c:pt idx="19">
                  <c:v>2018年8月
</c:v>
                </c:pt>
              </c:strCache>
            </c:strRef>
          </c:cat>
          <c:val>
            <c:numRef>
              <c:f>[深圳建设工程信息价.xlsx]Sheet1!$D$5:$W$5</c:f>
              <c:numCache>
                <c:formatCode>0.00_ </c:formatCode>
                <c:ptCount val="20"/>
                <c:pt idx="0">
                  <c:v>4310</c:v>
                </c:pt>
                <c:pt idx="1">
                  <c:v>4370</c:v>
                </c:pt>
                <c:pt idx="2">
                  <c:v>4480</c:v>
                </c:pt>
                <c:pt idx="3">
                  <c:v>4190</c:v>
                </c:pt>
                <c:pt idx="4">
                  <c:v>4190</c:v>
                </c:pt>
                <c:pt idx="5">
                  <c:v>4230</c:v>
                </c:pt>
                <c:pt idx="6">
                  <c:v>4370</c:v>
                </c:pt>
                <c:pt idx="7">
                  <c:v>4750</c:v>
                </c:pt>
                <c:pt idx="8">
                  <c:v>5100</c:v>
                </c:pt>
                <c:pt idx="9">
                  <c:v>5140</c:v>
                </c:pt>
                <c:pt idx="10">
                  <c:v>5204</c:v>
                </c:pt>
                <c:pt idx="11">
                  <c:v>5456</c:v>
                </c:pt>
                <c:pt idx="12">
                  <c:v>5140</c:v>
                </c:pt>
                <c:pt idx="13">
                  <c:v>5023</c:v>
                </c:pt>
                <c:pt idx="14">
                  <c:v>5210</c:v>
                </c:pt>
                <c:pt idx="15">
                  <c:v>5165</c:v>
                </c:pt>
                <c:pt idx="16">
                  <c:v>5349</c:v>
                </c:pt>
                <c:pt idx="17">
                  <c:v>5299</c:v>
                </c:pt>
                <c:pt idx="18" c:formatCode="General">
                  <c:v>5207</c:v>
                </c:pt>
                <c:pt idx="19" c:formatCode="General">
                  <c:v>5360</c:v>
                </c:pt>
              </c:numCache>
            </c:numRef>
          </c:val>
          <c:smooth val="0"/>
        </c:ser>
        <c:dLbls>
          <c:showLegendKey val="0"/>
          <c:showVal val="0"/>
          <c:showCatName val="0"/>
          <c:showSerName val="0"/>
          <c:showPercent val="0"/>
          <c:showBubbleSize val="0"/>
        </c:dLbls>
        <c:marker val="0"/>
        <c:smooth val="0"/>
        <c:axId val="316393728"/>
        <c:axId val="316498304"/>
      </c:lineChart>
      <c:catAx>
        <c:axId val="316393728"/>
        <c:scaling>
          <c:orientation val="minMax"/>
        </c:scaling>
        <c:delete val="0"/>
        <c:axPos val="b"/>
        <c:majorTickMark val="none"/>
        <c:minorTickMark val="none"/>
        <c:tickLblPos val="nextTo"/>
        <c:spPr>
          <a:noFill/>
          <a:ln w="9525" cap="flat" cmpd="sng" algn="ctr">
            <a:solidFill>
              <a:srgbClr val="D9D9D9">
                <a:lumMod val="15000"/>
                <a:lumOff val="85000"/>
              </a:srgbClr>
            </a:solid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316498304"/>
        <c:crosses val="autoZero"/>
        <c:auto val="1"/>
        <c:lblAlgn val="ctr"/>
        <c:lblOffset val="100"/>
        <c:noMultiLvlLbl val="0"/>
      </c:catAx>
      <c:valAx>
        <c:axId val="316498304"/>
        <c:scaling>
          <c:orientation val="minMax"/>
        </c:scaling>
        <c:delete val="0"/>
        <c:axPos val="l"/>
        <c:majorGridlines>
          <c:spPr>
            <a:ln w="9525" cap="flat" cmpd="sng" algn="ctr">
              <a:solidFill>
                <a:srgbClr val="D9D9D9">
                  <a:lumMod val="15000"/>
                  <a:lumOff val="85000"/>
                </a:srgbClr>
              </a:solidFill>
              <a:prstDash val="solid"/>
              <a:round/>
            </a:ln>
            <a:effectLst/>
          </c:spPr>
        </c:majorGridlines>
        <c:numFmt formatCode="0.00_ "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crossAx val="316393728"/>
        <c:crosses val="autoZero"/>
        <c:crossBetween val="between"/>
      </c:valAx>
      <c:spPr>
        <a:noFill/>
        <a:ln>
          <a:noFill/>
        </a:ln>
        <a:effectLst/>
      </c:spPr>
    </c:plotArea>
    <c:plotVisOnly val="1"/>
    <c:dispBlanksAs val="gap"/>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50"/>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4"/>
    <customShpInfo spid="_x0000_s1065"/>
    <customShpInfo spid="_x0000_s1066"/>
    <customShpInfo spid="_x0000_s1067"/>
    <customShpInfo spid="_x0000_s1068"/>
    <customShpInfo spid="_x0000_s1069"/>
    <customShpInfo spid="_x0000_s1070"/>
    <customShpInfo spid="_x0000_s1071"/>
    <customShpInfo spid="_x0000_s1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57AEC8-FBE9-493F-A19E-B6863543871E}">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28</Pages>
  <Words>3440</Words>
  <Characters>19612</Characters>
  <Lines>163</Lines>
  <Paragraphs>46</Paragraphs>
  <TotalTime>38</TotalTime>
  <ScaleCrop>false</ScaleCrop>
  <LinksUpToDate>false</LinksUpToDate>
  <CharactersWithSpaces>23006</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2019-06-13T04:04:00Z</dcterms:created>
  <dc:creator>Windows 用户</dc:creator>
  <cp:lastModifiedBy>星空云</cp:lastModifiedBy>
  <dcterms:modified xsi:type="dcterms:W3CDTF">2019-06-27T06:03:42Z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